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D2" w:rsidRDefault="00F561D2" w:rsidP="00C07DD7">
      <w:pPr>
        <w:pStyle w:val="Nagwek1"/>
      </w:pPr>
      <w:r w:rsidRPr="008A0702">
        <w:t>Protokół ze spotkania szkoleniowego Zastępców Naczelnego Rzecznika Odpowiedzialności Zawodowej w dniu 25 kwietnia 2014r. w siedzibie Naczelnego Rzecznika Odpowiedzialności Zawodowej w Warszawie</w:t>
      </w:r>
    </w:p>
    <w:p w:rsidR="00F561D2" w:rsidRDefault="00F561D2" w:rsidP="00F561D2">
      <w:pPr>
        <w:jc w:val="both"/>
        <w:rPr>
          <w:b/>
          <w:sz w:val="28"/>
          <w:szCs w:val="28"/>
          <w:u w:val="single"/>
        </w:rPr>
      </w:pPr>
    </w:p>
    <w:p w:rsidR="00A44DA7" w:rsidRPr="00CC3092" w:rsidRDefault="00741892" w:rsidP="008E2C32">
      <w:pPr>
        <w:spacing w:line="360" w:lineRule="auto"/>
        <w:jc w:val="both"/>
        <w:rPr>
          <w:sz w:val="24"/>
          <w:szCs w:val="24"/>
        </w:rPr>
      </w:pPr>
      <w:r w:rsidRPr="00CC3092">
        <w:rPr>
          <w:sz w:val="24"/>
          <w:szCs w:val="24"/>
        </w:rPr>
        <w:t xml:space="preserve">W dniu 25 kwietnia 2014 r. </w:t>
      </w:r>
      <w:r w:rsidR="003544C6" w:rsidRPr="00CC3092">
        <w:rPr>
          <w:sz w:val="24"/>
          <w:szCs w:val="24"/>
        </w:rPr>
        <w:t xml:space="preserve">odbyło się spotkanie szkoleniowe Zastępców NROZ. </w:t>
      </w:r>
      <w:r w:rsidR="007C56B7" w:rsidRPr="00CC3092">
        <w:rPr>
          <w:sz w:val="24"/>
          <w:szCs w:val="24"/>
        </w:rPr>
        <w:t xml:space="preserve">Zwrócono uwagę na problematykę czynności sprawdzających i postępowania wyjaśniającego. </w:t>
      </w:r>
      <w:r w:rsidR="009A6550">
        <w:rPr>
          <w:sz w:val="24"/>
          <w:szCs w:val="24"/>
        </w:rPr>
        <w:t>Doprecyzowaniem zagadniemy prawnych poruszanych kwestii zajął się Prokurator Andrzej Jóźwiak. I tak a</w:t>
      </w:r>
      <w:r w:rsidR="007C56B7" w:rsidRPr="00CC3092">
        <w:rPr>
          <w:sz w:val="24"/>
          <w:szCs w:val="24"/>
        </w:rPr>
        <w:t xml:space="preserve">rt. 67 ustawy </w:t>
      </w:r>
      <w:r w:rsidR="000C459D">
        <w:rPr>
          <w:sz w:val="24"/>
          <w:szCs w:val="24"/>
        </w:rPr>
        <w:t xml:space="preserve">z dnia 2 grudnia 2009 r. </w:t>
      </w:r>
      <w:r w:rsidR="007C56B7" w:rsidRPr="00CC3092">
        <w:rPr>
          <w:sz w:val="24"/>
          <w:szCs w:val="24"/>
        </w:rPr>
        <w:t xml:space="preserve">o izbach lekarskich wskazuje, iż rzecznik odpowiedzialności zawodowej niezwłocznie po otrzymaniu informacji wskazującej na możliwość popełnienia przewinienia zawodowego jest obowiązany wydać postanowienie o wszczęciu bądź o odmowie wszczęcia postępowania wyjaśniającego. Postępowanie wyjaśniające jest jednakże poprzedzone czynnościami sprawdzającymi. Celem czynności sprawdzających, zgodnie z normą wyrażoną w art. 55 ust. 2 ustawy o izbach lekarskich </w:t>
      </w:r>
      <w:r w:rsidR="005856A6" w:rsidRPr="00CC3092">
        <w:rPr>
          <w:sz w:val="24"/>
          <w:szCs w:val="24"/>
        </w:rPr>
        <w:t xml:space="preserve">jest wstępne zbadanie okoliczności koniecznych do ustalenia czy istnieją podstawy do wszczęcia postępowania wyjaśniającego. W trakcie czynności sprawdzających nie przeprowadza się dowodu z opinii biegłego ani czynności wymagających spisania protokołu, z wyjątkiem możliwości przesłuchania w charakterze świadka osoby składającej skargę na lekarza. </w:t>
      </w:r>
    </w:p>
    <w:p w:rsidR="00F561D2" w:rsidRPr="00CC3092" w:rsidRDefault="005856A6" w:rsidP="008E2C32">
      <w:pPr>
        <w:spacing w:line="360" w:lineRule="auto"/>
        <w:jc w:val="both"/>
        <w:rPr>
          <w:sz w:val="24"/>
          <w:szCs w:val="24"/>
        </w:rPr>
      </w:pPr>
      <w:r w:rsidRPr="00CC3092">
        <w:rPr>
          <w:sz w:val="24"/>
          <w:szCs w:val="24"/>
        </w:rPr>
        <w:t>P</w:t>
      </w:r>
      <w:r w:rsidR="00F561D2" w:rsidRPr="00CC3092">
        <w:rPr>
          <w:sz w:val="24"/>
          <w:szCs w:val="24"/>
        </w:rPr>
        <w:t>ostanowienie o wszczęciu postępowania wyjaśniającego musi zawierać:</w:t>
      </w:r>
    </w:p>
    <w:p w:rsidR="00F561D2" w:rsidRPr="00CC3092" w:rsidRDefault="00F561D2" w:rsidP="00884624">
      <w:pPr>
        <w:spacing w:after="0" w:line="240" w:lineRule="auto"/>
        <w:jc w:val="both"/>
        <w:rPr>
          <w:sz w:val="24"/>
          <w:szCs w:val="24"/>
        </w:rPr>
      </w:pPr>
      <w:r w:rsidRPr="00CC3092">
        <w:rPr>
          <w:sz w:val="24"/>
          <w:szCs w:val="24"/>
        </w:rPr>
        <w:t>1. oznaczenie osoby Rzecznika</w:t>
      </w:r>
    </w:p>
    <w:p w:rsidR="00F561D2" w:rsidRPr="00CC3092" w:rsidRDefault="00F561D2" w:rsidP="00884624">
      <w:pPr>
        <w:spacing w:after="0" w:line="240" w:lineRule="auto"/>
        <w:jc w:val="both"/>
        <w:rPr>
          <w:sz w:val="24"/>
          <w:szCs w:val="24"/>
        </w:rPr>
      </w:pPr>
      <w:r w:rsidRPr="00CC3092">
        <w:rPr>
          <w:sz w:val="24"/>
          <w:szCs w:val="24"/>
        </w:rPr>
        <w:t>2. datę</w:t>
      </w:r>
    </w:p>
    <w:p w:rsidR="00F561D2" w:rsidRPr="00CC3092" w:rsidRDefault="00F561D2" w:rsidP="00884624">
      <w:pPr>
        <w:spacing w:after="0" w:line="240" w:lineRule="auto"/>
        <w:jc w:val="both"/>
        <w:rPr>
          <w:sz w:val="24"/>
          <w:szCs w:val="24"/>
        </w:rPr>
      </w:pPr>
      <w:r w:rsidRPr="00CC3092">
        <w:rPr>
          <w:sz w:val="24"/>
          <w:szCs w:val="24"/>
        </w:rPr>
        <w:t>3. określenie i datę czynu lub jego okres</w:t>
      </w:r>
    </w:p>
    <w:p w:rsidR="00F561D2" w:rsidRPr="00CC3092" w:rsidRDefault="00F561D2" w:rsidP="00884624">
      <w:pPr>
        <w:spacing w:after="0" w:line="240" w:lineRule="auto"/>
        <w:jc w:val="both"/>
        <w:rPr>
          <w:sz w:val="24"/>
          <w:szCs w:val="24"/>
        </w:rPr>
      </w:pPr>
      <w:r w:rsidRPr="00CC3092">
        <w:rPr>
          <w:sz w:val="24"/>
          <w:szCs w:val="24"/>
        </w:rPr>
        <w:t xml:space="preserve">4. miejsce czynu jakie wynika ze skargi </w:t>
      </w:r>
    </w:p>
    <w:p w:rsidR="00F561D2" w:rsidRPr="00CC3092" w:rsidRDefault="00F561D2" w:rsidP="00884624">
      <w:pPr>
        <w:spacing w:after="0" w:line="240" w:lineRule="auto"/>
        <w:jc w:val="both"/>
        <w:rPr>
          <w:sz w:val="24"/>
          <w:szCs w:val="24"/>
        </w:rPr>
      </w:pPr>
      <w:r w:rsidRPr="00CC3092">
        <w:rPr>
          <w:sz w:val="24"/>
          <w:szCs w:val="24"/>
        </w:rPr>
        <w:t xml:space="preserve">5. wskazanie osoby pokrzywdzonego </w:t>
      </w:r>
    </w:p>
    <w:p w:rsidR="00F561D2" w:rsidRPr="00CC3092" w:rsidRDefault="00F561D2" w:rsidP="00884624">
      <w:pPr>
        <w:spacing w:after="0" w:line="240" w:lineRule="auto"/>
        <w:jc w:val="both"/>
        <w:rPr>
          <w:sz w:val="24"/>
          <w:szCs w:val="24"/>
        </w:rPr>
      </w:pPr>
      <w:r w:rsidRPr="00CC3092">
        <w:rPr>
          <w:sz w:val="24"/>
          <w:szCs w:val="24"/>
        </w:rPr>
        <w:t xml:space="preserve">6. kwalifikację przewinienia </w:t>
      </w:r>
    </w:p>
    <w:p w:rsidR="00F561D2" w:rsidRDefault="00F561D2" w:rsidP="00884624">
      <w:pPr>
        <w:spacing w:after="0" w:line="240" w:lineRule="auto"/>
        <w:jc w:val="both"/>
        <w:rPr>
          <w:sz w:val="24"/>
          <w:szCs w:val="24"/>
        </w:rPr>
      </w:pPr>
      <w:r w:rsidRPr="00CC3092">
        <w:rPr>
          <w:sz w:val="24"/>
          <w:szCs w:val="24"/>
        </w:rPr>
        <w:t xml:space="preserve">7. uzasadnienie </w:t>
      </w:r>
    </w:p>
    <w:p w:rsidR="00884624" w:rsidRPr="00CC3092" w:rsidRDefault="00884624" w:rsidP="00884624">
      <w:pPr>
        <w:spacing w:after="0" w:line="240" w:lineRule="auto"/>
        <w:jc w:val="both"/>
        <w:rPr>
          <w:sz w:val="24"/>
          <w:szCs w:val="24"/>
        </w:rPr>
      </w:pPr>
    </w:p>
    <w:p w:rsidR="00561ABE" w:rsidRDefault="007C56B7" w:rsidP="008E2C32">
      <w:pPr>
        <w:spacing w:line="360" w:lineRule="auto"/>
        <w:jc w:val="both"/>
        <w:rPr>
          <w:sz w:val="24"/>
          <w:szCs w:val="24"/>
        </w:rPr>
      </w:pPr>
      <w:r w:rsidRPr="00CC3092">
        <w:rPr>
          <w:sz w:val="24"/>
          <w:szCs w:val="24"/>
        </w:rPr>
        <w:t>A</w:t>
      </w:r>
      <w:r w:rsidR="00F561D2" w:rsidRPr="00CC3092">
        <w:rPr>
          <w:sz w:val="24"/>
          <w:szCs w:val="24"/>
        </w:rPr>
        <w:t xml:space="preserve">rt. 57 ust. 1 </w:t>
      </w:r>
      <w:r w:rsidRPr="00CC3092">
        <w:rPr>
          <w:sz w:val="24"/>
          <w:szCs w:val="24"/>
        </w:rPr>
        <w:t>ustawy o izbach lekarskich określa, kim jest pokrzywdzony – to osoba fizyczna, osoba prawna lub jednostka organizacyjna nieposiadająca osobowości prawnej, której dobro prawne zostało bezpośrednio naruszone lub zagrożone przez przewinienie zawodowe. Wskazać należy na b</w:t>
      </w:r>
      <w:r w:rsidR="00F561D2" w:rsidRPr="00CC3092">
        <w:rPr>
          <w:sz w:val="24"/>
          <w:szCs w:val="24"/>
        </w:rPr>
        <w:t>r</w:t>
      </w:r>
      <w:r w:rsidRPr="00CC3092">
        <w:rPr>
          <w:sz w:val="24"/>
          <w:szCs w:val="24"/>
        </w:rPr>
        <w:t>ak tożsamości terminów „skarżący” i „p</w:t>
      </w:r>
      <w:r w:rsidR="00F561D2" w:rsidRPr="00CC3092">
        <w:rPr>
          <w:sz w:val="24"/>
          <w:szCs w:val="24"/>
        </w:rPr>
        <w:t>okrzywdzony</w:t>
      </w:r>
      <w:r w:rsidRPr="00CC3092">
        <w:rPr>
          <w:sz w:val="24"/>
          <w:szCs w:val="24"/>
        </w:rPr>
        <w:t>”</w:t>
      </w:r>
      <w:r w:rsidR="00F561D2" w:rsidRPr="00CC3092">
        <w:rPr>
          <w:sz w:val="24"/>
          <w:szCs w:val="24"/>
        </w:rPr>
        <w:t>. Autorem skargi jest często instytucja, która nie może być uznana za „pokrzywdzonego”</w:t>
      </w:r>
      <w:r w:rsidRPr="00CC3092">
        <w:rPr>
          <w:sz w:val="24"/>
          <w:szCs w:val="24"/>
        </w:rPr>
        <w:t>.</w:t>
      </w:r>
      <w:r w:rsidR="000C459D">
        <w:rPr>
          <w:sz w:val="24"/>
          <w:szCs w:val="24"/>
        </w:rPr>
        <w:t xml:space="preserve"> </w:t>
      </w:r>
    </w:p>
    <w:p w:rsidR="00F561D2" w:rsidRPr="00A44DA7" w:rsidRDefault="00F561D2" w:rsidP="00F561D2">
      <w:pPr>
        <w:jc w:val="both"/>
        <w:rPr>
          <w:sz w:val="24"/>
          <w:szCs w:val="24"/>
        </w:rPr>
      </w:pPr>
    </w:p>
    <w:p w:rsidR="00570530" w:rsidRDefault="00570530"/>
    <w:sectPr w:rsidR="00570530" w:rsidSect="00AD6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FF" w:rsidRDefault="00C251FF" w:rsidP="00717BFA">
      <w:pPr>
        <w:spacing w:after="0" w:line="240" w:lineRule="auto"/>
      </w:pPr>
      <w:r>
        <w:separator/>
      </w:r>
    </w:p>
  </w:endnote>
  <w:endnote w:type="continuationSeparator" w:id="0">
    <w:p w:rsidR="00C251FF" w:rsidRDefault="00C251FF" w:rsidP="0071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7126"/>
      <w:docPartObj>
        <w:docPartGallery w:val="Page Numbers (Bottom of Page)"/>
        <w:docPartUnique/>
      </w:docPartObj>
    </w:sdtPr>
    <w:sdtContent>
      <w:p w:rsidR="00717BFA" w:rsidRDefault="00383C03">
        <w:pPr>
          <w:pStyle w:val="Stopka"/>
          <w:jc w:val="center"/>
        </w:pPr>
        <w:fldSimple w:instr=" PAGE   \* MERGEFORMAT ">
          <w:r w:rsidR="00884624">
            <w:rPr>
              <w:noProof/>
            </w:rPr>
            <w:t>1</w:t>
          </w:r>
        </w:fldSimple>
      </w:p>
    </w:sdtContent>
  </w:sdt>
  <w:p w:rsidR="00717BFA" w:rsidRDefault="00717B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FF" w:rsidRDefault="00C251FF" w:rsidP="00717BFA">
      <w:pPr>
        <w:spacing w:after="0" w:line="240" w:lineRule="auto"/>
      </w:pPr>
      <w:r>
        <w:separator/>
      </w:r>
    </w:p>
  </w:footnote>
  <w:footnote w:type="continuationSeparator" w:id="0">
    <w:p w:rsidR="00C251FF" w:rsidRDefault="00C251FF" w:rsidP="0071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1D2"/>
    <w:rsid w:val="000401B9"/>
    <w:rsid w:val="000C459D"/>
    <w:rsid w:val="00271193"/>
    <w:rsid w:val="00337475"/>
    <w:rsid w:val="003544C6"/>
    <w:rsid w:val="00383C03"/>
    <w:rsid w:val="00406A0E"/>
    <w:rsid w:val="004651A3"/>
    <w:rsid w:val="00481CD5"/>
    <w:rsid w:val="00561ABE"/>
    <w:rsid w:val="00570530"/>
    <w:rsid w:val="005856A6"/>
    <w:rsid w:val="00605151"/>
    <w:rsid w:val="006D52E0"/>
    <w:rsid w:val="00717BFA"/>
    <w:rsid w:val="00741892"/>
    <w:rsid w:val="007C56B7"/>
    <w:rsid w:val="007D38F3"/>
    <w:rsid w:val="00864453"/>
    <w:rsid w:val="008654EE"/>
    <w:rsid w:val="00884624"/>
    <w:rsid w:val="008C6674"/>
    <w:rsid w:val="008E2C32"/>
    <w:rsid w:val="00900581"/>
    <w:rsid w:val="00986B01"/>
    <w:rsid w:val="009A6550"/>
    <w:rsid w:val="00A419A3"/>
    <w:rsid w:val="00A44DA7"/>
    <w:rsid w:val="00C07DD7"/>
    <w:rsid w:val="00C251FF"/>
    <w:rsid w:val="00CC2B4F"/>
    <w:rsid w:val="00CC3092"/>
    <w:rsid w:val="00DA4E56"/>
    <w:rsid w:val="00EB0BAF"/>
    <w:rsid w:val="00ED6719"/>
    <w:rsid w:val="00F561D2"/>
    <w:rsid w:val="00F8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1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B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B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Izba Lekarska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18</cp:revision>
  <dcterms:created xsi:type="dcterms:W3CDTF">2015-04-10T13:13:00Z</dcterms:created>
  <dcterms:modified xsi:type="dcterms:W3CDTF">2015-05-11T07:42:00Z</dcterms:modified>
</cp:coreProperties>
</file>