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844C2" w14:textId="77777777" w:rsidR="00CF792A" w:rsidRDefault="00DF37A5" w:rsidP="00DF37A5">
      <w:pPr>
        <w:pStyle w:val="Cytatintensywny"/>
      </w:pPr>
      <w:r>
        <w:t>Warsztaty szkoleniowe dla Zastępców Naczelnego Rzecznika Odpowiedzialności Zawodowej w dniu 10 maja 2019r. w siedzibie Naczelnej Izby Lekarskiej</w:t>
      </w:r>
    </w:p>
    <w:p w14:paraId="4722C495" w14:textId="77777777" w:rsidR="006F29CA" w:rsidRPr="00BF4394" w:rsidRDefault="006F29CA" w:rsidP="00277B2B">
      <w:pPr>
        <w:jc w:val="both"/>
        <w:rPr>
          <w:i/>
          <w:iCs/>
          <w:color w:val="4472C4" w:themeColor="accent1"/>
        </w:rPr>
      </w:pPr>
      <w:bookmarkStart w:id="0" w:name="_GoBack"/>
      <w:bookmarkEnd w:id="0"/>
    </w:p>
    <w:p w14:paraId="76D98E2D" w14:textId="005DED85" w:rsidR="00BF4394" w:rsidRPr="00BF4394" w:rsidRDefault="00BF4394" w:rsidP="00277B2B">
      <w:pPr>
        <w:jc w:val="both"/>
        <w:rPr>
          <w:i/>
          <w:u w:val="single"/>
        </w:rPr>
      </w:pPr>
      <w:r w:rsidRPr="00BF4394">
        <w:rPr>
          <w:i/>
          <w:u w:val="single"/>
        </w:rPr>
        <w:t>Przywitanie uczestników i sprawy bieżące:</w:t>
      </w:r>
    </w:p>
    <w:p w14:paraId="1BDC5695" w14:textId="1619F574" w:rsidR="00277B2B" w:rsidRDefault="00277B2B" w:rsidP="00277B2B">
      <w:pPr>
        <w:jc w:val="both"/>
      </w:pPr>
      <w:r>
        <w:t xml:space="preserve">Uczestników warsztatów przywitał Prezes Naczelnej Rady Lekarskiej prof. </w:t>
      </w:r>
      <w:r w:rsidR="0058221D">
        <w:t>dr hab. n. med.</w:t>
      </w:r>
      <w:r w:rsidR="009C20A7">
        <w:t xml:space="preserve"> </w:t>
      </w:r>
      <w:r>
        <w:t xml:space="preserve">Andrzej Matyja. Podziękował Rzecznikom za ich zaangażowanie i ciężką pracę w </w:t>
      </w:r>
      <w:r w:rsidR="0058221D">
        <w:t>samorządzie zawodowym</w:t>
      </w:r>
      <w:r>
        <w:t xml:space="preserve"> i życzył </w:t>
      </w:r>
      <w:r w:rsidR="00DA2F77">
        <w:t xml:space="preserve">udanych </w:t>
      </w:r>
      <w:r>
        <w:t xml:space="preserve"> </w:t>
      </w:r>
      <w:r w:rsidR="00DA2F77">
        <w:t>warsztatów</w:t>
      </w:r>
      <w:r>
        <w:t xml:space="preserve">. </w:t>
      </w:r>
    </w:p>
    <w:p w14:paraId="6EF24C6C" w14:textId="6C0F20A6" w:rsidR="0048715C" w:rsidRDefault="0048715C" w:rsidP="00277B2B">
      <w:pPr>
        <w:jc w:val="both"/>
      </w:pPr>
      <w:r>
        <w:t xml:space="preserve">Naczelny Rzecznik Odpowiedzialności Zawodowej lek. Grzegorz Wrona przypomniał o prowadzonych dyskusjach dotyczących zmian Kodeksu Etyki Lekarskiej. W tym zakresie </w:t>
      </w:r>
      <w:r w:rsidRPr="00C85445">
        <w:t xml:space="preserve">zostało </w:t>
      </w:r>
      <w:r w:rsidR="00C85445" w:rsidRPr="00C85445">
        <w:t xml:space="preserve">podtrzymane </w:t>
      </w:r>
      <w:r w:rsidRPr="00C85445">
        <w:t>wypracowane</w:t>
      </w:r>
      <w:r w:rsidR="00C85445" w:rsidRPr="00C85445">
        <w:t xml:space="preserve"> wcześniej</w:t>
      </w:r>
      <w:r w:rsidRPr="00C85445">
        <w:t xml:space="preserve"> stanowisko Zastępców NROZ,</w:t>
      </w:r>
      <w:r>
        <w:t xml:space="preserve"> które zostanie przedstawione </w:t>
      </w:r>
      <w:r w:rsidR="00C8357B">
        <w:t>Komisji prowadzącej prace nad zmianami.</w:t>
      </w:r>
    </w:p>
    <w:p w14:paraId="606AB136" w14:textId="724EEC9C" w:rsidR="00C8357B" w:rsidRDefault="00C8357B" w:rsidP="00277B2B">
      <w:pPr>
        <w:jc w:val="both"/>
      </w:pPr>
      <w:r>
        <w:t>NROZ wskazał na Apel</w:t>
      </w:r>
      <w:r w:rsidR="00CD0015">
        <w:t xml:space="preserve"> nr </w:t>
      </w:r>
      <w:r w:rsidR="00BF4394">
        <w:t>5</w:t>
      </w:r>
      <w:r w:rsidR="00CD0015">
        <w:t xml:space="preserve">/2019/VII </w:t>
      </w:r>
      <w:r>
        <w:t xml:space="preserve"> </w:t>
      </w:r>
      <w:r w:rsidR="00CD0015">
        <w:t xml:space="preserve">Nadzwyczajnego XLII Okręgowego Zjazdu Lekarzy Wielkopolskiej Izby Lekarskiej z dnia 6 kwietnia 2019r. do </w:t>
      </w:r>
      <w:r w:rsidR="00BF4394">
        <w:t>Naczelnej Rady Lekarskiej i Naczelnego Rzecznika Odpowiedzialności Zawodowej o opracowanie jednolitych wytycznych postępowania w przypadku pacjentów będących cudzoziemcami przyjmowanych w ramach ubezpieczenia Narodowego Funduszu Zdrowia, którzy nie znają języka polskiego w stopniu umożliwiającym swobodne porozumiewanie się z lekarzem na wypadek niekorzystnych zdarzeń medycznych. NROZ zwrócił się do Zastępców z prośbą o  zaangażowanie w powyższym zakresie.</w:t>
      </w:r>
    </w:p>
    <w:p w14:paraId="4E91E9CF" w14:textId="7D2293A1" w:rsidR="006F29CA" w:rsidRDefault="00BF4394" w:rsidP="00CD0015">
      <w:pPr>
        <w:jc w:val="both"/>
      </w:pPr>
      <w:r>
        <w:t xml:space="preserve">Następnie, </w:t>
      </w:r>
      <w:r w:rsidR="00C8357B">
        <w:t xml:space="preserve">NROZ przedstawił uzasadnienie Wyroku Sądu Najwyższego z dnia </w:t>
      </w:r>
      <w:r w:rsidR="00CD0015">
        <w:t>19 grudnia 2019r.</w:t>
      </w:r>
      <w:r w:rsidR="00C8357B">
        <w:t xml:space="preserve"> o sygnaturze I KK 11/18</w:t>
      </w:r>
      <w:r w:rsidR="00CD0015">
        <w:t xml:space="preserve"> i z</w:t>
      </w:r>
      <w:r w:rsidR="00C8357B">
        <w:t xml:space="preserve">wrócił </w:t>
      </w:r>
      <w:r w:rsidR="00CD0015">
        <w:t xml:space="preserve">szczególną </w:t>
      </w:r>
      <w:r w:rsidR="00C8357B">
        <w:t xml:space="preserve">uwagę na </w:t>
      </w:r>
      <w:r w:rsidR="009C20A7">
        <w:t>fragmen</w:t>
      </w:r>
      <w:r w:rsidR="00CD0015">
        <w:t xml:space="preserve">t: „z istoty postępowania w przedmiocie odpowiedzialności zawodowej lekarzy, wynika, że członkowie sądów lekarskich dysponują specjalistyczną wiedzą medyczną i mogą, odwołując się do niej, oceniać także </w:t>
      </w:r>
      <w:r w:rsidR="007350A4">
        <w:t>o</w:t>
      </w:r>
      <w:r w:rsidR="00CD0015">
        <w:t>pinie biegłych, czy ekspertów złożone w sprawie. Ocena ta musi być wszakże oparta na możliwych do zweryfikowania merytorycznych argumentach. ”</w:t>
      </w:r>
    </w:p>
    <w:p w14:paraId="31D36D31" w14:textId="7CE915A4" w:rsidR="00BF4394" w:rsidRPr="00BF4394" w:rsidRDefault="00BF4394" w:rsidP="00BF4394">
      <w:pPr>
        <w:jc w:val="both"/>
      </w:pPr>
      <w:r>
        <w:t>Przedstawiono</w:t>
      </w:r>
      <w:r w:rsidR="006F29CA">
        <w:t xml:space="preserve"> nowych pracowników </w:t>
      </w:r>
      <w:r w:rsidR="00CD0015">
        <w:t xml:space="preserve">biura, </w:t>
      </w:r>
      <w:r w:rsidR="006F29CA">
        <w:t xml:space="preserve">zatrudnionych w ramach </w:t>
      </w:r>
      <w:r w:rsidR="00CD0015">
        <w:t xml:space="preserve">umowy </w:t>
      </w:r>
      <w:r w:rsidR="0058221D">
        <w:t>o wolontariat</w:t>
      </w:r>
      <w:r w:rsidR="00CD0015">
        <w:t xml:space="preserve">: panią Aleksandrę Gil i panią Annę Wcisło, studentki prawa </w:t>
      </w:r>
      <w:r w:rsidR="00CD0015" w:rsidRPr="00C85445">
        <w:t xml:space="preserve">na </w:t>
      </w:r>
      <w:r w:rsidR="00C85445" w:rsidRPr="00C85445">
        <w:t>SWPS w Warszawie</w:t>
      </w:r>
      <w:r w:rsidR="00CD0015" w:rsidRPr="00C85445">
        <w:t>.</w:t>
      </w:r>
      <w:r w:rsidR="00CD0015">
        <w:t xml:space="preserve"> </w:t>
      </w:r>
    </w:p>
    <w:p w14:paraId="356861AA" w14:textId="7851BC92" w:rsidR="006F29CA" w:rsidRDefault="00BF4394" w:rsidP="006F29CA">
      <w:pPr>
        <w:tabs>
          <w:tab w:val="left" w:pos="1410"/>
        </w:tabs>
        <w:rPr>
          <w:i/>
          <w:u w:val="single"/>
        </w:rPr>
      </w:pPr>
      <w:r>
        <w:rPr>
          <w:i/>
          <w:u w:val="single"/>
        </w:rPr>
        <w:t>Część warsztatowa: Zastępcy NROZ wzięli udział w symulacji przesłuchań</w:t>
      </w:r>
      <w:r w:rsidR="005D1708">
        <w:rPr>
          <w:i/>
          <w:u w:val="single"/>
        </w:rPr>
        <w:t>:</w:t>
      </w:r>
      <w:r>
        <w:rPr>
          <w:i/>
          <w:u w:val="single"/>
        </w:rPr>
        <w:t xml:space="preserve"> </w:t>
      </w:r>
    </w:p>
    <w:p w14:paraId="03F5E681" w14:textId="1FF27512" w:rsidR="00BF4394" w:rsidRPr="00BF4394" w:rsidRDefault="00BF4394" w:rsidP="006F29CA">
      <w:pPr>
        <w:tabs>
          <w:tab w:val="left" w:pos="1410"/>
        </w:tabs>
      </w:pPr>
      <w:r>
        <w:t>Podczas części warsztatowej, Rzecznicy wzięli udział w 3 scenkach przedstawiających przesłuchanie: świadka, lekarza, którego dotyczy postępowanie, lekarza obwinionego. Następnie,</w:t>
      </w:r>
      <w:r w:rsidR="005D1708">
        <w:t xml:space="preserve"> omówione zostały spostrzeżone w czasie przesłuchań uchybienia. </w:t>
      </w:r>
    </w:p>
    <w:p w14:paraId="045521E1" w14:textId="174BA927" w:rsidR="003964B6" w:rsidRPr="003964B6" w:rsidRDefault="003964B6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  <w:rPr>
          <w:b/>
          <w:u w:val="single"/>
        </w:rPr>
      </w:pPr>
      <w:r>
        <w:t>Należy pamiętać o obowiązku Rzecznika w zakresie sprawdzenia tożsamości lekarza</w:t>
      </w:r>
      <w:r w:rsidR="002C493E">
        <w:t xml:space="preserve"> na podstawie dokumentu ze zdjęciem potwierdzającym tożsamość, niekoniecznie na podstawie dowodu osobistego</w:t>
      </w:r>
      <w:r>
        <w:t xml:space="preserve"> (to obowiązek Rzecznika, a nie protokolanta)</w:t>
      </w:r>
    </w:p>
    <w:p w14:paraId="510179BF" w14:textId="77777777" w:rsidR="003964B6" w:rsidRPr="003964B6" w:rsidRDefault="003964B6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  <w:rPr>
          <w:b/>
          <w:u w:val="single"/>
        </w:rPr>
      </w:pPr>
      <w:r>
        <w:t xml:space="preserve"> C</w:t>
      </w:r>
      <w:r w:rsidR="00DC25BF">
        <w:t>o</w:t>
      </w:r>
      <w:r>
        <w:t xml:space="preserve"> do zasady rzecznik powinien cały czas czuwać nad przebiegiem przesłuchania, również w zakresie protokołu prowadzonego przez protokolanta</w:t>
      </w:r>
    </w:p>
    <w:p w14:paraId="40A884E3" w14:textId="0BCDC5DD" w:rsidR="00DC25BF" w:rsidRPr="006917FF" w:rsidRDefault="003964B6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  <w:rPr>
          <w:b/>
          <w:u w:val="single"/>
        </w:rPr>
      </w:pPr>
      <w:r>
        <w:t>W sytuacji, w której podczas przesłuchania strona przedstawia Rzecznikowi dokumenty, płytę CD, Rzecznik powinien ustosunkować się np. czy włącza dokumenty do materiału dowodowego.</w:t>
      </w:r>
      <w:r w:rsidR="00DC25BF">
        <w:t xml:space="preserve"> Może wskazać, że odniesie się do składanych materiałów po przesłuchaniu, nie ulega jednak wątpliwości, że Rzecznik powinien podjąć</w:t>
      </w:r>
      <w:r w:rsidR="005D1708">
        <w:t xml:space="preserve"> w tym zakresie</w:t>
      </w:r>
      <w:r w:rsidR="00DC25BF">
        <w:t xml:space="preserve"> decyzję.</w:t>
      </w:r>
    </w:p>
    <w:p w14:paraId="1BFED3A8" w14:textId="051DB7E7" w:rsidR="006917FF" w:rsidRPr="006917FF" w:rsidRDefault="006917FF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  <w:rPr>
          <w:b/>
          <w:u w:val="single"/>
        </w:rPr>
      </w:pPr>
      <w:r>
        <w:t>Protokolant nie ma kompetencji do: zad</w:t>
      </w:r>
      <w:r w:rsidR="00EE4D9A">
        <w:t>a</w:t>
      </w:r>
      <w:r>
        <w:t xml:space="preserve">wania pytań </w:t>
      </w:r>
      <w:r w:rsidR="005D1708">
        <w:t>świadkom</w:t>
      </w:r>
      <w:r>
        <w:t xml:space="preserve">, pouczania o prawach i obowiązkach. To zadanie Rzecznika. </w:t>
      </w:r>
    </w:p>
    <w:p w14:paraId="1A0A89AF" w14:textId="0B680F06" w:rsidR="006917FF" w:rsidRPr="0048715C" w:rsidRDefault="006917FF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  <w:rPr>
          <w:b/>
          <w:u w:val="single"/>
        </w:rPr>
      </w:pPr>
      <w:r>
        <w:lastRenderedPageBreak/>
        <w:t>W przesłuchaniu może uczestniczyć tylko osoba wezwana (ewentualnie jej pełnomocnik, obrońca w sytuacji kiedy etap postępowania na to pozwala). Nie ma jednak możliwości, żeby w przesłuchaniu uczestniczyły osoby trzeci</w:t>
      </w:r>
      <w:r w:rsidR="005D1708">
        <w:t>e -</w:t>
      </w:r>
      <w:r>
        <w:t xml:space="preserve"> przykładowo małżonek świadka</w:t>
      </w:r>
      <w:r w:rsidR="00C85445">
        <w:t>.</w:t>
      </w:r>
    </w:p>
    <w:p w14:paraId="2150B426" w14:textId="77777777" w:rsidR="0048715C" w:rsidRPr="0048715C" w:rsidRDefault="0048715C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  <w:rPr>
          <w:b/>
          <w:u w:val="single"/>
        </w:rPr>
      </w:pPr>
      <w:r>
        <w:t xml:space="preserve">Rzecznik ma obowiązek poinformować o prawach i obowiązkach osoby przesłuchiwanej. Zawsze. </w:t>
      </w:r>
    </w:p>
    <w:p w14:paraId="301BEAC6" w14:textId="77777777" w:rsidR="0048715C" w:rsidRPr="0048715C" w:rsidRDefault="0048715C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  <w:rPr>
          <w:b/>
          <w:u w:val="single"/>
        </w:rPr>
      </w:pPr>
      <w:r>
        <w:t xml:space="preserve">Podczas przesłuchania Rzecznik powinien za każdym razem zagwarantować osobie przesłuchiwanej prawo do swobodnej wypowiedzi. Rzecznik może przerwać swobodną wypowiedź jeżeli nie ma ona związku ze sprawą. </w:t>
      </w:r>
    </w:p>
    <w:p w14:paraId="3A0A8705" w14:textId="777B7EA6" w:rsidR="0048715C" w:rsidRDefault="000D21A9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</w:pPr>
      <w:r w:rsidRPr="000D21A9">
        <w:t xml:space="preserve">Rzecznik nie </w:t>
      </w:r>
      <w:r>
        <w:t xml:space="preserve">powinien dopuścić do sytuacji w której podczas przesłuchania pytania zadawane są przez obrońcę lekarza. Gospodarzem przesłuchania jest Rzecznik Odpowiedzialności Zawodowej. Rzecznik jest osobą uprawnioną do zadawania pytań. </w:t>
      </w:r>
    </w:p>
    <w:p w14:paraId="57B68D54" w14:textId="2687D819" w:rsidR="00E6739F" w:rsidRDefault="00753189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</w:pPr>
      <w:r>
        <w:t>W trakcie przesłuchania Rzecznik powinien zadawać pytania zmierzające do ustalenia kwestii związanych ze sprawą. Powinien podejmować działania, w sytuacji kiedy osoba przesłuchiwana nie wypowiada się na temat i porusza kwestie zupełnie niezwiązane ze sprawą.</w:t>
      </w:r>
    </w:p>
    <w:p w14:paraId="4479ED55" w14:textId="4A8E83A8" w:rsidR="006F423F" w:rsidRDefault="006F423F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</w:pPr>
      <w:r>
        <w:t>Szczególną uwagę Rzecznicy powinni poświęcać czynnościom formalnym związanym z przesłuchaniem: sprawdzenie tożsamości osoby przesłuchiwanej, pouczenie o prawach i obowiązkach.</w:t>
      </w:r>
    </w:p>
    <w:p w14:paraId="183AA2DD" w14:textId="585DA12A" w:rsidR="006F423F" w:rsidRDefault="006F423F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</w:pPr>
      <w:r>
        <w:t>Rzecznik podczas przesłuchania powinien mieć przy sobie Kodeks Etyki Lekarskiej, ustawę o izbach lekarskich, ustawę o zawodach lekarza i lekarza dentysty</w:t>
      </w:r>
      <w:r w:rsidR="005D1708">
        <w:t>.</w:t>
      </w:r>
    </w:p>
    <w:p w14:paraId="654A29AB" w14:textId="77777777" w:rsidR="00D959A1" w:rsidRDefault="003A7F95" w:rsidP="00DC25BF">
      <w:pPr>
        <w:pStyle w:val="Akapitzlist"/>
        <w:numPr>
          <w:ilvl w:val="0"/>
          <w:numId w:val="1"/>
        </w:numPr>
        <w:tabs>
          <w:tab w:val="left" w:pos="1410"/>
        </w:tabs>
        <w:jc w:val="both"/>
      </w:pPr>
      <w:r>
        <w:t>W razie agresywnego zachowania obrońcy, który uniemożliwiałby prowadzenie czynności, informacja o takim postępowaniu powinna znaleźć się w protokole przesłuchania</w:t>
      </w:r>
    </w:p>
    <w:p w14:paraId="2AD64FDB" w14:textId="264BEEFE" w:rsidR="00E46883" w:rsidRDefault="003A7F95" w:rsidP="00D959A1">
      <w:pPr>
        <w:tabs>
          <w:tab w:val="left" w:pos="1410"/>
        </w:tabs>
        <w:jc w:val="both"/>
      </w:pPr>
      <w:r>
        <w:t xml:space="preserve"> </w:t>
      </w:r>
      <w:r w:rsidR="00E56B4A">
        <w:t xml:space="preserve">NROZ podkreślił, że toczy się coraz więcej postępowań dotyczących lekarzy posiadających polskie prawo wykonywania zawodu, którzy zostali ukarani poza granicami polski przez zagraniczne sądy lekarskie i sądy powszechne. </w:t>
      </w:r>
      <w:r w:rsidR="00E46883">
        <w:t>Jako Zastępców NROZ, którzy będą zajmować się sprawami lekarzy z polskim prawem wykonywania zawodu, ukarany</w:t>
      </w:r>
      <w:r w:rsidR="005D1708">
        <w:t>mi</w:t>
      </w:r>
      <w:r w:rsidR="00E46883">
        <w:t xml:space="preserve"> poza granicami Polski wyznaczył dr Karolinę Pyziak-Kowalską. Sprawy dotyczące lekarzy dentystów analizowane będą przez  lek. dent. Annę Tarkowską. </w:t>
      </w:r>
    </w:p>
    <w:p w14:paraId="14F02A38" w14:textId="77777777" w:rsidR="0058221D" w:rsidRDefault="00E46883" w:rsidP="00D959A1">
      <w:pPr>
        <w:tabs>
          <w:tab w:val="left" w:pos="1410"/>
        </w:tabs>
        <w:jc w:val="both"/>
      </w:pPr>
      <w:r>
        <w:t xml:space="preserve">W następnej części </w:t>
      </w:r>
      <w:r w:rsidR="005D1708">
        <w:t xml:space="preserve">warsztatów </w:t>
      </w:r>
      <w:r>
        <w:t>dr Krzysztof Lubecki przedstawił zebranym aktualne problemy, które pojawiły się w związku ze sprawami rozpoznawanymi przez Naczelny Sąd Lekarski.</w:t>
      </w:r>
      <w:r w:rsidR="00C917E8">
        <w:t xml:space="preserve"> </w:t>
      </w:r>
    </w:p>
    <w:p w14:paraId="0DE062C8" w14:textId="5C9060B6" w:rsidR="00BB134C" w:rsidRDefault="002770D1" w:rsidP="00D959A1">
      <w:pPr>
        <w:tabs>
          <w:tab w:val="left" w:pos="1410"/>
        </w:tabs>
        <w:jc w:val="both"/>
      </w:pPr>
      <w:r>
        <w:t xml:space="preserve">Wyłoniła się </w:t>
      </w:r>
      <w:r w:rsidRPr="0058221D">
        <w:t xml:space="preserve">dyskusja dotycząca </w:t>
      </w:r>
      <w:r w:rsidR="005D1708" w:rsidRPr="0058221D">
        <w:t xml:space="preserve">zakresu </w:t>
      </w:r>
      <w:r w:rsidRPr="0058221D">
        <w:t>uprawnień lekarza i lekarza dentysty</w:t>
      </w:r>
      <w:r w:rsidR="00C85445" w:rsidRPr="0058221D">
        <w:t xml:space="preserve"> w zakresie uprawnień do wykonywania świadczeń medycyny estetycznej w obrębie twarzoczaszki oraz pozostałym</w:t>
      </w:r>
      <w:r w:rsidRPr="0058221D">
        <w:t>.</w:t>
      </w:r>
      <w:r>
        <w:t xml:space="preserve"> </w:t>
      </w:r>
      <w:r w:rsidR="005D1708">
        <w:t>Przedstawiono zagadnienie skargi kierowanej do Sądu Najwyższego na orzeczenie Naczelnego Sąd</w:t>
      </w:r>
      <w:r w:rsidR="00C85445">
        <w:t xml:space="preserve"> </w:t>
      </w:r>
      <w:r w:rsidR="005D1708">
        <w:t>u Lekarskiego uchylające orzeczenie okręgowego sądu lekarskiego i przekazujące sprawę do ponownego rozpoznania. W tym zakresie odpowiednie zastosowanie znajdują przepisy rozdziału 55a ustawy z dnia 6 czerwca 1997r. kodeks postępowania karnego.</w:t>
      </w:r>
    </w:p>
    <w:p w14:paraId="0505A4D8" w14:textId="66985A35" w:rsidR="00BB134C" w:rsidRDefault="005D1708" w:rsidP="00D959A1">
      <w:pPr>
        <w:tabs>
          <w:tab w:val="left" w:pos="1410"/>
        </w:tabs>
        <w:jc w:val="both"/>
        <w:rPr>
          <w:i/>
          <w:u w:val="single"/>
        </w:rPr>
      </w:pPr>
      <w:r w:rsidRPr="005D1708">
        <w:rPr>
          <w:i/>
          <w:u w:val="single"/>
        </w:rPr>
        <w:t>Część teoretyczna:</w:t>
      </w:r>
    </w:p>
    <w:p w14:paraId="7DC99524" w14:textId="29DB1311" w:rsidR="005D1708" w:rsidRDefault="005D1708" w:rsidP="00D959A1">
      <w:pPr>
        <w:tabs>
          <w:tab w:val="left" w:pos="1410"/>
        </w:tabs>
        <w:jc w:val="both"/>
      </w:pPr>
      <w:r>
        <w:t>W tej części warsztatów wzięli udział członkowie Naczelnego Sądu Lekarskiego</w:t>
      </w:r>
      <w:r w:rsidR="0058221D">
        <w:t xml:space="preserve"> oraz przedstawiciele Okręgowego Sądu Lekarskiego w Warszawie</w:t>
      </w:r>
      <w:r>
        <w:t xml:space="preserve">. Jako prelegent zaproszona została </w:t>
      </w:r>
      <w:r w:rsidR="007813EC">
        <w:t>mec.</w:t>
      </w:r>
      <w:r w:rsidR="00DE0446">
        <w:t xml:space="preserve"> </w:t>
      </w:r>
      <w:r>
        <w:t xml:space="preserve">Magdalena Zamroczyńska, która przedstawiła referat </w:t>
      </w:r>
      <w:r w:rsidR="007813EC">
        <w:t xml:space="preserve">pt. Procedura postępowań w sprawach przewinień lekarzy w Wielkiej Brytanii – wnioski z obserwacji własnych rozpraw przed </w:t>
      </w:r>
      <w:r w:rsidR="00E17A07">
        <w:t>M</w:t>
      </w:r>
      <w:r w:rsidR="007813EC">
        <w:t>edical Practitioners Tribunal Service.</w:t>
      </w:r>
    </w:p>
    <w:p w14:paraId="199F2D0C" w14:textId="70D8123F" w:rsidR="00E17A07" w:rsidRPr="005D1708" w:rsidRDefault="00E17A07" w:rsidP="00D959A1">
      <w:pPr>
        <w:tabs>
          <w:tab w:val="left" w:pos="1410"/>
        </w:tabs>
        <w:jc w:val="both"/>
      </w:pPr>
      <w:r>
        <w:t xml:space="preserve">Zwrócono uwagę na tryb procedowania organów prowadzących na terenie Wielkiej Brytanii postępowania w sprawach dotyczących lekarzy i lekarzy dentystów: Medical Practitioners Tribunal Service (dalej: MPTS), General Medical Council (GMC), General Dental Council (GDC). </w:t>
      </w:r>
    </w:p>
    <w:p w14:paraId="10AC79A2" w14:textId="0BE79F58" w:rsidR="000B394C" w:rsidRDefault="00E17A07" w:rsidP="00D959A1">
      <w:pPr>
        <w:tabs>
          <w:tab w:val="left" w:pos="1410"/>
        </w:tabs>
        <w:jc w:val="both"/>
      </w:pPr>
      <w:r>
        <w:t>Tzw. f</w:t>
      </w:r>
      <w:r w:rsidR="000B394C">
        <w:t>itness to practice</w:t>
      </w:r>
      <w:r>
        <w:t xml:space="preserve"> lekarza</w:t>
      </w:r>
      <w:r w:rsidR="000B394C">
        <w:t xml:space="preserve"> – jest kwestionowan</w:t>
      </w:r>
      <w:r>
        <w:t>e</w:t>
      </w:r>
      <w:r w:rsidR="000B394C">
        <w:t xml:space="preserve"> przez GMC jeśli </w:t>
      </w:r>
      <w:r>
        <w:t xml:space="preserve">lekarz </w:t>
      </w:r>
      <w:r w:rsidR="000B394C">
        <w:t>dopuści się czynności prowadzącej do odpowiedzialności dyscyplinarnej</w:t>
      </w:r>
      <w:r>
        <w:t>. Rzecznik kieruje taką sprawę do sądu - MPTS.</w:t>
      </w:r>
    </w:p>
    <w:p w14:paraId="268CE1FF" w14:textId="58756146" w:rsidR="000B394C" w:rsidRDefault="00E17A07" w:rsidP="00D959A1">
      <w:pPr>
        <w:tabs>
          <w:tab w:val="left" w:pos="1410"/>
        </w:tabs>
        <w:jc w:val="both"/>
      </w:pPr>
      <w:r>
        <w:lastRenderedPageBreak/>
        <w:t xml:space="preserve">Można wskazać na kilka spraw dotyczących niewystarczającej znajomości </w:t>
      </w:r>
      <w:r w:rsidR="000B394C">
        <w:t>j. angielski</w:t>
      </w:r>
      <w:r>
        <w:t xml:space="preserve">ego - </w:t>
      </w:r>
      <w:r w:rsidR="000B394C">
        <w:t xml:space="preserve">na skutek kilku głośnych przypadków w których </w:t>
      </w:r>
      <w:r>
        <w:t>w związku z</w:t>
      </w:r>
      <w:r w:rsidR="000B394C">
        <w:t xml:space="preserve"> nieporozumien</w:t>
      </w:r>
      <w:r>
        <w:t>iem</w:t>
      </w:r>
      <w:r w:rsidR="000B394C">
        <w:t xml:space="preserve"> między lekarzem a pacjentem </w:t>
      </w:r>
      <w:r>
        <w:t xml:space="preserve">doszło do śmierci pacjenta, brytyjskie organy sprawujące nadzór nad wykonywaniem zawodu lekarza zwracają szczególna uwagę na sprawy związane z niewystarczającą znajomością języka angielskiego. </w:t>
      </w:r>
    </w:p>
    <w:p w14:paraId="057A0183" w14:textId="00603DEA" w:rsidR="000B394C" w:rsidRDefault="00E17A07" w:rsidP="00D959A1">
      <w:pPr>
        <w:tabs>
          <w:tab w:val="left" w:pos="1410"/>
        </w:tabs>
        <w:jc w:val="both"/>
      </w:pPr>
      <w:r>
        <w:t>Postępowanie przed brytyjskimi organami można podzielić na etapy:</w:t>
      </w:r>
    </w:p>
    <w:p w14:paraId="631BEF04" w14:textId="1B98D3E6" w:rsidR="000B394C" w:rsidRDefault="000B394C" w:rsidP="00D959A1">
      <w:pPr>
        <w:tabs>
          <w:tab w:val="left" w:pos="1410"/>
        </w:tabs>
        <w:jc w:val="both"/>
      </w:pPr>
      <w:r>
        <w:t>I Etap : etap faktów – GMC kieruje zarzuty do MPTS</w:t>
      </w:r>
    </w:p>
    <w:p w14:paraId="4E4543FC" w14:textId="7B3FAD60" w:rsidR="000B394C" w:rsidRDefault="000B394C" w:rsidP="00D959A1">
      <w:pPr>
        <w:tabs>
          <w:tab w:val="left" w:pos="1410"/>
        </w:tabs>
        <w:jc w:val="both"/>
      </w:pPr>
      <w:r>
        <w:t xml:space="preserve">II Etap: etap podważenia – MPTS </w:t>
      </w:r>
      <w:r w:rsidR="00E17A07">
        <w:t>przeprowadza postępowanie</w:t>
      </w:r>
      <w:r>
        <w:t xml:space="preserve"> </w:t>
      </w:r>
      <w:r w:rsidR="00E17A07">
        <w:t>dowodowe</w:t>
      </w:r>
      <w:r>
        <w:t xml:space="preserve"> i decyduje, czy jest </w:t>
      </w:r>
      <w:r w:rsidR="00E17A07">
        <w:t>można lekarzowi przypisać</w:t>
      </w:r>
      <w:r>
        <w:t xml:space="preserve"> </w:t>
      </w:r>
      <w:r w:rsidR="00E17A07">
        <w:t xml:space="preserve">winę </w:t>
      </w:r>
      <w:r>
        <w:t xml:space="preserve">i czy </w:t>
      </w:r>
      <w:r w:rsidR="00E17A07">
        <w:t xml:space="preserve">p[powinna zostać wymierzona kara. </w:t>
      </w:r>
    </w:p>
    <w:p w14:paraId="6A7F0A3C" w14:textId="6AF45867" w:rsidR="000B394C" w:rsidRDefault="00E17A07" w:rsidP="00D959A1">
      <w:pPr>
        <w:tabs>
          <w:tab w:val="left" w:pos="1410"/>
        </w:tabs>
        <w:jc w:val="both"/>
      </w:pPr>
      <w:r>
        <w:t>Kary orzekane przez brytyjskie organy:</w:t>
      </w:r>
    </w:p>
    <w:p w14:paraId="1280BAD9" w14:textId="74D9C0C1" w:rsidR="000B394C" w:rsidRDefault="000B394C" w:rsidP="00E17A07">
      <w:pPr>
        <w:pStyle w:val="Akapitzlist"/>
        <w:numPr>
          <w:ilvl w:val="0"/>
          <w:numId w:val="2"/>
        </w:numPr>
        <w:tabs>
          <w:tab w:val="left" w:pos="1410"/>
        </w:tabs>
        <w:jc w:val="both"/>
      </w:pPr>
      <w:r w:rsidRPr="00E17A07">
        <w:rPr>
          <w:i/>
        </w:rPr>
        <w:t>Conditions</w:t>
      </w:r>
      <w:r>
        <w:t xml:space="preserve"> – sposoby ograniczenia zawodu np. praca tylko w gabinecie prywatnym, zakaz wykonywania określonych zabiegów (do 3 lat)</w:t>
      </w:r>
    </w:p>
    <w:p w14:paraId="60C494F0" w14:textId="4C662198" w:rsidR="000B394C" w:rsidRDefault="0091415A" w:rsidP="00E17A07">
      <w:pPr>
        <w:pStyle w:val="Akapitzlist"/>
        <w:numPr>
          <w:ilvl w:val="0"/>
          <w:numId w:val="2"/>
        </w:numPr>
        <w:tabs>
          <w:tab w:val="left" w:pos="1410"/>
        </w:tabs>
        <w:jc w:val="both"/>
      </w:pPr>
      <w:r>
        <w:t>Zawieszenie PWZ</w:t>
      </w:r>
    </w:p>
    <w:p w14:paraId="0523B2F7" w14:textId="7890F546" w:rsidR="0091415A" w:rsidRDefault="0091415A" w:rsidP="00E17A07">
      <w:pPr>
        <w:pStyle w:val="Akapitzlist"/>
        <w:numPr>
          <w:ilvl w:val="0"/>
          <w:numId w:val="2"/>
        </w:numPr>
        <w:tabs>
          <w:tab w:val="left" w:pos="1410"/>
        </w:tabs>
        <w:jc w:val="both"/>
      </w:pPr>
      <w:r>
        <w:t>Skreślenie z rejestru</w:t>
      </w:r>
    </w:p>
    <w:p w14:paraId="083932F1" w14:textId="08E5EB3C" w:rsidR="0091415A" w:rsidRDefault="0091415A" w:rsidP="00D959A1">
      <w:pPr>
        <w:tabs>
          <w:tab w:val="left" w:pos="1410"/>
        </w:tabs>
        <w:jc w:val="both"/>
      </w:pPr>
      <w:r>
        <w:t xml:space="preserve">Co do zasady przesłuchanie przed MPTS odbywa się publicznie. </w:t>
      </w:r>
    </w:p>
    <w:p w14:paraId="6B0D363C" w14:textId="5B7BC8E2" w:rsidR="004B5331" w:rsidRDefault="004B5331" w:rsidP="00D959A1">
      <w:pPr>
        <w:tabs>
          <w:tab w:val="left" w:pos="1410"/>
        </w:tabs>
        <w:jc w:val="both"/>
      </w:pPr>
      <w:r>
        <w:t>Spotkania poprzedzające przesłuchanie – manager sprawy, zatrudniony w MPTS</w:t>
      </w:r>
    </w:p>
    <w:p w14:paraId="36D67C1D" w14:textId="1B19942D" w:rsidR="003F0DAF" w:rsidRDefault="003F0DAF" w:rsidP="00D959A1">
      <w:pPr>
        <w:tabs>
          <w:tab w:val="left" w:pos="1410"/>
        </w:tabs>
        <w:jc w:val="both"/>
      </w:pPr>
      <w:r>
        <w:t>Asystent Trybunału</w:t>
      </w:r>
      <w:r w:rsidR="00E17A07">
        <w:t xml:space="preserve"> (asystent MPTS)</w:t>
      </w:r>
      <w:r>
        <w:t xml:space="preserve"> – zajmuje się protokołowaniem i prowadzeniem sprawy. Zasada osobnego pokoju – przy wejściu do budynku </w:t>
      </w:r>
      <w:r w:rsidR="00E17A07">
        <w:t xml:space="preserve">MPTS </w:t>
      </w:r>
      <w:r>
        <w:t>jest rejestracja. Asystent danej sprawy rozprowadza do oddzielnych pokoi</w:t>
      </w:r>
      <w:r w:rsidR="00E17A07">
        <w:t>: świadków, oskarżonego, pokrzywdzonego.</w:t>
      </w:r>
      <w:r>
        <w:t xml:space="preserve"> Chodzi o to, aby strony postępowania nie spotykały się ze sobą poza salą w której odbędzie się rozprawa. </w:t>
      </w:r>
    </w:p>
    <w:p w14:paraId="2F8FCE75" w14:textId="2894D886" w:rsidR="00B67E35" w:rsidRDefault="00E17A07" w:rsidP="00D959A1">
      <w:pPr>
        <w:tabs>
          <w:tab w:val="left" w:pos="1410"/>
        </w:tabs>
        <w:jc w:val="both"/>
      </w:pPr>
      <w:r>
        <w:t xml:space="preserve">W skład </w:t>
      </w:r>
      <w:r w:rsidR="003F0DAF">
        <w:t>Trybunał</w:t>
      </w:r>
      <w:r>
        <w:t>u wchodzą</w:t>
      </w:r>
      <w:r w:rsidR="003F0DAF">
        <w:t xml:space="preserve">: prawnik, lekarz, </w:t>
      </w:r>
      <w:r>
        <w:t>osoba niebędąca ani lekarzem, ani prawnikiem</w:t>
      </w:r>
      <w:r w:rsidR="003F0DAF">
        <w:t xml:space="preserve"> (jako czynnik społ</w:t>
      </w:r>
      <w:r w:rsidR="00B67E35">
        <w:t>e</w:t>
      </w:r>
      <w:r w:rsidR="003F0DAF">
        <w:t>czny).</w:t>
      </w:r>
    </w:p>
    <w:p w14:paraId="2C7A9BF8" w14:textId="0E5A1E6F" w:rsidR="00B67E35" w:rsidRDefault="00B67E35" w:rsidP="00D959A1">
      <w:pPr>
        <w:tabs>
          <w:tab w:val="left" w:pos="1410"/>
        </w:tabs>
        <w:jc w:val="both"/>
      </w:pPr>
      <w:r>
        <w:t xml:space="preserve">Cross examination </w:t>
      </w:r>
    </w:p>
    <w:p w14:paraId="59724988" w14:textId="3D208345" w:rsidR="00991781" w:rsidRDefault="00991781" w:rsidP="00D959A1">
      <w:pPr>
        <w:tabs>
          <w:tab w:val="left" w:pos="1410"/>
        </w:tabs>
        <w:jc w:val="both"/>
      </w:pPr>
      <w:r>
        <w:t>Jaka jest ścieżka odwoławcza?</w:t>
      </w:r>
    </w:p>
    <w:p w14:paraId="736699C4" w14:textId="2358D180" w:rsidR="00991781" w:rsidRDefault="00991781" w:rsidP="00D959A1">
      <w:pPr>
        <w:tabs>
          <w:tab w:val="left" w:pos="1410"/>
        </w:tabs>
        <w:jc w:val="both"/>
      </w:pPr>
      <w:r>
        <w:t>Jest możliwość złożenia apelacji i kasacji</w:t>
      </w:r>
    </w:p>
    <w:p w14:paraId="17988546" w14:textId="736CBC08" w:rsidR="00991781" w:rsidRDefault="00991781" w:rsidP="00D959A1">
      <w:pPr>
        <w:tabs>
          <w:tab w:val="left" w:pos="1410"/>
        </w:tabs>
        <w:jc w:val="both"/>
      </w:pPr>
      <w:r>
        <w:t xml:space="preserve">Postępowanie przed GMC (tu może już być ostrzeżenie) </w:t>
      </w:r>
    </w:p>
    <w:p w14:paraId="1E5EDA28" w14:textId="1C7DBBEC" w:rsidR="00991781" w:rsidRDefault="00991781" w:rsidP="00E17A07">
      <w:pPr>
        <w:pStyle w:val="Akapitzlist"/>
        <w:numPr>
          <w:ilvl w:val="0"/>
          <w:numId w:val="3"/>
        </w:numPr>
        <w:tabs>
          <w:tab w:val="left" w:pos="1410"/>
        </w:tabs>
        <w:jc w:val="both"/>
      </w:pPr>
      <w:r>
        <w:t>MPTS – sąd I instancji (przysługuje apelacja już do sądu powszechnego)</w:t>
      </w:r>
    </w:p>
    <w:p w14:paraId="59A0919D" w14:textId="7E4BF73D" w:rsidR="00991781" w:rsidRDefault="00991781" w:rsidP="00E17A07">
      <w:pPr>
        <w:pStyle w:val="Akapitzlist"/>
        <w:numPr>
          <w:ilvl w:val="0"/>
          <w:numId w:val="3"/>
        </w:numPr>
        <w:tabs>
          <w:tab w:val="left" w:pos="1410"/>
        </w:tabs>
        <w:jc w:val="both"/>
      </w:pPr>
      <w:r>
        <w:t>High Court (przysługuje kasacja)</w:t>
      </w:r>
    </w:p>
    <w:p w14:paraId="768199C3" w14:textId="0B17C7F7" w:rsidR="00991781" w:rsidRDefault="00991781" w:rsidP="00E17A07">
      <w:pPr>
        <w:pStyle w:val="Akapitzlist"/>
        <w:numPr>
          <w:ilvl w:val="0"/>
          <w:numId w:val="3"/>
        </w:numPr>
        <w:tabs>
          <w:tab w:val="left" w:pos="1410"/>
        </w:tabs>
        <w:jc w:val="both"/>
      </w:pPr>
      <w:r>
        <w:t>Supreme Court</w:t>
      </w:r>
    </w:p>
    <w:p w14:paraId="67C952C4" w14:textId="34FE44CA" w:rsidR="00BE32DE" w:rsidRDefault="003F0DAF" w:rsidP="009E1A74">
      <w:pPr>
        <w:tabs>
          <w:tab w:val="left" w:pos="1410"/>
        </w:tabs>
        <w:jc w:val="both"/>
      </w:pPr>
      <w:r>
        <w:t xml:space="preserve"> </w:t>
      </w:r>
      <w:r w:rsidR="00991781">
        <w:t xml:space="preserve">Postępowanie trwa </w:t>
      </w:r>
      <w:r w:rsidR="00E17A07">
        <w:t xml:space="preserve">średnio </w:t>
      </w:r>
      <w:r w:rsidR="00991781">
        <w:t xml:space="preserve">jeden rok. </w:t>
      </w:r>
      <w:r w:rsidR="00E17A07">
        <w:t xml:space="preserve">Każda ze stron postepowania otrzymuje skompletowane akta sprawy. Terminy rozpraw ustalane są np. na jeden tydzień, dzień po dniu, w tym celu, aby szybciej zakończyć jedną sprawę. Terminy rozpraw są konsultowane telefonicznie ze stronami postępowania po to, aby każdemu umożliwić udział w rozprawie. </w:t>
      </w:r>
      <w:r w:rsidR="00BE32DE">
        <w:t>Koszty postępowania pokrywane są przez państwo. Jeśli lekarz powołuje obrońcę, to osobiście pokrywa koszt.</w:t>
      </w:r>
    </w:p>
    <w:p w14:paraId="17A50016" w14:textId="178DF887" w:rsidR="009E1A74" w:rsidRDefault="009E1A74" w:rsidP="009E1A74">
      <w:pPr>
        <w:tabs>
          <w:tab w:val="left" w:pos="1410"/>
        </w:tabs>
        <w:jc w:val="both"/>
      </w:pPr>
      <w:r>
        <w:t xml:space="preserve">GMC jest elementem MPTS. GMC zajmuje się rejestracją lekarzy, rewalidacją lekarzy, ale również kwestią odpowiedzialności zawodowej. I nie tylko. Brytyjski system nadzoru nad zawodami zaufania publicznego jest najbardziej rygorystyczny w całej Europie. </w:t>
      </w:r>
    </w:p>
    <w:p w14:paraId="3C841701" w14:textId="5BDFD2E0" w:rsidR="009004C5" w:rsidRDefault="009004C5" w:rsidP="009E1A74">
      <w:pPr>
        <w:tabs>
          <w:tab w:val="left" w:pos="1410"/>
        </w:tabs>
        <w:jc w:val="both"/>
      </w:pPr>
      <w:r>
        <w:t xml:space="preserve">Szczegółowe informacje związane z postępowaniami przed MPTS przedstawione zostały na stronie internetowej: </w:t>
      </w:r>
      <w:r w:rsidRPr="009004C5">
        <w:t>https://www.mpts-uk.org/</w:t>
      </w:r>
    </w:p>
    <w:p w14:paraId="7241B9EA" w14:textId="77777777" w:rsidR="009004C5" w:rsidRDefault="009004C5" w:rsidP="009E1A74">
      <w:pPr>
        <w:tabs>
          <w:tab w:val="left" w:pos="1410"/>
        </w:tabs>
        <w:jc w:val="both"/>
      </w:pPr>
    </w:p>
    <w:p w14:paraId="1739914C" w14:textId="77777777" w:rsidR="009E1A74" w:rsidRPr="009004C5" w:rsidRDefault="009E1A74" w:rsidP="009E1A74">
      <w:pPr>
        <w:tabs>
          <w:tab w:val="left" w:pos="1410"/>
        </w:tabs>
        <w:jc w:val="both"/>
      </w:pPr>
    </w:p>
    <w:p w14:paraId="1D3BB601" w14:textId="0E957F35" w:rsidR="00F61BE4" w:rsidRPr="009004C5" w:rsidRDefault="00BE32DE" w:rsidP="009E1A74">
      <w:pPr>
        <w:tabs>
          <w:tab w:val="left" w:pos="1410"/>
        </w:tabs>
        <w:jc w:val="both"/>
      </w:pPr>
      <w:r w:rsidRPr="009004C5">
        <w:lastRenderedPageBreak/>
        <w:t xml:space="preserve"> </w:t>
      </w:r>
    </w:p>
    <w:p w14:paraId="1581FA1A" w14:textId="77777777" w:rsidR="00F61BE4" w:rsidRPr="009004C5" w:rsidRDefault="00F61BE4" w:rsidP="00D959A1">
      <w:pPr>
        <w:tabs>
          <w:tab w:val="left" w:pos="1410"/>
        </w:tabs>
        <w:jc w:val="both"/>
      </w:pPr>
    </w:p>
    <w:p w14:paraId="40EAA388" w14:textId="77777777" w:rsidR="00DC25BF" w:rsidRPr="009004C5" w:rsidRDefault="00DC25BF" w:rsidP="00DC25BF">
      <w:pPr>
        <w:tabs>
          <w:tab w:val="left" w:pos="1410"/>
        </w:tabs>
        <w:ind w:left="360"/>
        <w:jc w:val="both"/>
        <w:rPr>
          <w:b/>
          <w:u w:val="single"/>
        </w:rPr>
      </w:pPr>
    </w:p>
    <w:p w14:paraId="049074A6" w14:textId="77777777" w:rsidR="006917FF" w:rsidRPr="009004C5" w:rsidRDefault="006917FF" w:rsidP="00DC25BF">
      <w:pPr>
        <w:tabs>
          <w:tab w:val="left" w:pos="1410"/>
        </w:tabs>
        <w:ind w:left="360"/>
        <w:jc w:val="both"/>
        <w:rPr>
          <w:b/>
          <w:u w:val="single"/>
        </w:rPr>
      </w:pPr>
    </w:p>
    <w:p w14:paraId="34D7A86C" w14:textId="77777777" w:rsidR="006917FF" w:rsidRPr="009004C5" w:rsidRDefault="006917FF" w:rsidP="00DC25BF">
      <w:pPr>
        <w:tabs>
          <w:tab w:val="left" w:pos="1410"/>
        </w:tabs>
        <w:ind w:left="360"/>
        <w:jc w:val="both"/>
        <w:rPr>
          <w:b/>
          <w:u w:val="single"/>
        </w:rPr>
      </w:pPr>
    </w:p>
    <w:p w14:paraId="5064FFD7" w14:textId="77777777" w:rsidR="00277B2B" w:rsidRPr="009004C5" w:rsidRDefault="00277B2B" w:rsidP="006F29CA">
      <w:pPr>
        <w:tabs>
          <w:tab w:val="left" w:pos="1410"/>
        </w:tabs>
        <w:rPr>
          <w:b/>
          <w:u w:val="single"/>
        </w:rPr>
      </w:pPr>
    </w:p>
    <w:sectPr w:rsidR="00277B2B" w:rsidRPr="009004C5" w:rsidSect="0058221D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CBA61" w14:textId="77777777" w:rsidR="00A53497" w:rsidRDefault="00A53497" w:rsidP="00E6739F">
      <w:pPr>
        <w:spacing w:after="0" w:line="240" w:lineRule="auto"/>
      </w:pPr>
      <w:r>
        <w:separator/>
      </w:r>
    </w:p>
  </w:endnote>
  <w:endnote w:type="continuationSeparator" w:id="0">
    <w:p w14:paraId="120693B2" w14:textId="77777777" w:rsidR="00A53497" w:rsidRDefault="00A53497" w:rsidP="00E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16440"/>
      <w:docPartObj>
        <w:docPartGallery w:val="Page Numbers (Bottom of Page)"/>
        <w:docPartUnique/>
      </w:docPartObj>
    </w:sdtPr>
    <w:sdtEndPr/>
    <w:sdtContent>
      <w:p w14:paraId="5E41FD06" w14:textId="77E8422E" w:rsidR="00E6739F" w:rsidRDefault="00E673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1D">
          <w:rPr>
            <w:noProof/>
          </w:rPr>
          <w:t>1</w:t>
        </w:r>
        <w:r>
          <w:fldChar w:fldCharType="end"/>
        </w:r>
      </w:p>
    </w:sdtContent>
  </w:sdt>
  <w:p w14:paraId="476BEA24" w14:textId="641D974B" w:rsidR="00E6739F" w:rsidRDefault="00E673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22C41" w14:textId="77777777" w:rsidR="00A53497" w:rsidRDefault="00A53497" w:rsidP="00E6739F">
      <w:pPr>
        <w:spacing w:after="0" w:line="240" w:lineRule="auto"/>
      </w:pPr>
      <w:r>
        <w:separator/>
      </w:r>
    </w:p>
  </w:footnote>
  <w:footnote w:type="continuationSeparator" w:id="0">
    <w:p w14:paraId="6351DB03" w14:textId="77777777" w:rsidR="00A53497" w:rsidRDefault="00A53497" w:rsidP="00E6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A9"/>
    <w:multiLevelType w:val="hybridMultilevel"/>
    <w:tmpl w:val="88580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2FA7"/>
    <w:multiLevelType w:val="hybridMultilevel"/>
    <w:tmpl w:val="5A54D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93B61"/>
    <w:multiLevelType w:val="hybridMultilevel"/>
    <w:tmpl w:val="917A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A5"/>
    <w:rsid w:val="000B394C"/>
    <w:rsid w:val="000D21A9"/>
    <w:rsid w:val="002770D1"/>
    <w:rsid w:val="00277B2B"/>
    <w:rsid w:val="002C493E"/>
    <w:rsid w:val="003439E5"/>
    <w:rsid w:val="003440AF"/>
    <w:rsid w:val="003964B6"/>
    <w:rsid w:val="003A7F95"/>
    <w:rsid w:val="003F0DAF"/>
    <w:rsid w:val="00437FC4"/>
    <w:rsid w:val="0048715C"/>
    <w:rsid w:val="004B5331"/>
    <w:rsid w:val="004D54BD"/>
    <w:rsid w:val="00516444"/>
    <w:rsid w:val="0058221D"/>
    <w:rsid w:val="0058721A"/>
    <w:rsid w:val="005B4BB6"/>
    <w:rsid w:val="005D1708"/>
    <w:rsid w:val="00622360"/>
    <w:rsid w:val="006917FF"/>
    <w:rsid w:val="006F29CA"/>
    <w:rsid w:val="006F423F"/>
    <w:rsid w:val="007350A4"/>
    <w:rsid w:val="00753189"/>
    <w:rsid w:val="007813EC"/>
    <w:rsid w:val="008D39D5"/>
    <w:rsid w:val="008F216B"/>
    <w:rsid w:val="009004C5"/>
    <w:rsid w:val="0091415A"/>
    <w:rsid w:val="00972F02"/>
    <w:rsid w:val="009760F6"/>
    <w:rsid w:val="00991781"/>
    <w:rsid w:val="009C20A7"/>
    <w:rsid w:val="009E1A74"/>
    <w:rsid w:val="00A53497"/>
    <w:rsid w:val="00AF43F9"/>
    <w:rsid w:val="00AF6B40"/>
    <w:rsid w:val="00B67E35"/>
    <w:rsid w:val="00B774E9"/>
    <w:rsid w:val="00BB134C"/>
    <w:rsid w:val="00BE32DE"/>
    <w:rsid w:val="00BF4394"/>
    <w:rsid w:val="00C8357B"/>
    <w:rsid w:val="00C85445"/>
    <w:rsid w:val="00C917E8"/>
    <w:rsid w:val="00CD0015"/>
    <w:rsid w:val="00CF792A"/>
    <w:rsid w:val="00D959A1"/>
    <w:rsid w:val="00DA2F77"/>
    <w:rsid w:val="00DC25BF"/>
    <w:rsid w:val="00DE0446"/>
    <w:rsid w:val="00DF37A5"/>
    <w:rsid w:val="00E17A07"/>
    <w:rsid w:val="00E46883"/>
    <w:rsid w:val="00E56B4A"/>
    <w:rsid w:val="00E65350"/>
    <w:rsid w:val="00E6739F"/>
    <w:rsid w:val="00EE4D9A"/>
    <w:rsid w:val="00F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AE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7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7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7A5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277B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7B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7B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B2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5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39F"/>
  </w:style>
  <w:style w:type="paragraph" w:styleId="Stopka">
    <w:name w:val="footer"/>
    <w:basedOn w:val="Normalny"/>
    <w:link w:val="StopkaZnak"/>
    <w:uiPriority w:val="99"/>
    <w:unhideWhenUsed/>
    <w:rsid w:val="00E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77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7B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37A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37A5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277B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7B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7B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7B2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5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5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5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5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5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57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39F"/>
  </w:style>
  <w:style w:type="paragraph" w:styleId="Stopka">
    <w:name w:val="footer"/>
    <w:basedOn w:val="Normalny"/>
    <w:link w:val="StopkaZnak"/>
    <w:uiPriority w:val="99"/>
    <w:unhideWhenUsed/>
    <w:rsid w:val="00E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4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6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4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8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87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0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0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5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4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6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59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1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8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6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6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347A-C994-49B2-9A28-AED85E78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NROZ</dc:creator>
  <cp:lastModifiedBy>Ewa Nowosielska</cp:lastModifiedBy>
  <cp:revision>3</cp:revision>
  <cp:lastPrinted>2019-05-22T12:32:00Z</cp:lastPrinted>
  <dcterms:created xsi:type="dcterms:W3CDTF">2019-05-15T12:46:00Z</dcterms:created>
  <dcterms:modified xsi:type="dcterms:W3CDTF">2019-05-22T12:34:00Z</dcterms:modified>
</cp:coreProperties>
</file>