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4CD8" w14:textId="3BA1BA72" w:rsidR="008C7016" w:rsidRDefault="00B868A6">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hidden="0" allowOverlap="1" wp14:anchorId="35894D1E" wp14:editId="35894D1F">
            <wp:simplePos x="0" y="0"/>
            <wp:positionH relativeFrom="page">
              <wp:posOffset>628650</wp:posOffset>
            </wp:positionH>
            <wp:positionV relativeFrom="page">
              <wp:posOffset>590550</wp:posOffset>
            </wp:positionV>
            <wp:extent cx="542925" cy="698500"/>
            <wp:effectExtent l="0" t="0" r="0" b="0"/>
            <wp:wrapSquare wrapText="bothSides" distT="0" distB="0" distL="114300" distR="114300"/>
            <wp:docPr id="3" name="image1.png" descr="NIL1_logo"/>
            <wp:cNvGraphicFramePr/>
            <a:graphic xmlns:a="http://schemas.openxmlformats.org/drawingml/2006/main">
              <a:graphicData uri="http://schemas.openxmlformats.org/drawingml/2006/picture">
                <pic:pic xmlns:pic="http://schemas.openxmlformats.org/drawingml/2006/picture">
                  <pic:nvPicPr>
                    <pic:cNvPr id="0" name="image1.png" descr="NIL1_logo"/>
                    <pic:cNvPicPr preferRelativeResize="0"/>
                  </pic:nvPicPr>
                  <pic:blipFill>
                    <a:blip r:embed="rId8"/>
                    <a:srcRect/>
                    <a:stretch>
                      <a:fillRect/>
                    </a:stretch>
                  </pic:blipFill>
                  <pic:spPr>
                    <a:xfrm>
                      <a:off x="0" y="0"/>
                      <a:ext cx="542925" cy="698500"/>
                    </a:xfrm>
                    <a:prstGeom prst="rect">
                      <a:avLst/>
                    </a:prstGeom>
                    <a:ln/>
                  </pic:spPr>
                </pic:pic>
              </a:graphicData>
            </a:graphic>
          </wp:anchor>
        </w:drawing>
      </w:r>
      <w:r>
        <w:rPr>
          <w:rFonts w:ascii="Times New Roman" w:eastAsia="Times New Roman" w:hAnsi="Times New Roman" w:cs="Times New Roman"/>
          <w:b/>
          <w:sz w:val="28"/>
          <w:szCs w:val="28"/>
        </w:rPr>
        <w:t xml:space="preserve">Protokół konferencji szkoleniowej z udziałem Naczelnego Rzecznika Odpowiedzialności Zawodowej, Zastępców, Okręgowych Rzeczników Odpowiedzialności Zawodowej i </w:t>
      </w:r>
      <w:r w:rsidR="00B9654F">
        <w:rPr>
          <w:rFonts w:ascii="Times New Roman" w:eastAsia="Times New Roman" w:hAnsi="Times New Roman" w:cs="Times New Roman"/>
          <w:b/>
          <w:sz w:val="28"/>
          <w:szCs w:val="28"/>
        </w:rPr>
        <w:t xml:space="preserve">członków </w:t>
      </w:r>
      <w:r>
        <w:rPr>
          <w:rFonts w:ascii="Times New Roman" w:eastAsia="Times New Roman" w:hAnsi="Times New Roman" w:cs="Times New Roman"/>
          <w:b/>
          <w:sz w:val="28"/>
          <w:szCs w:val="28"/>
        </w:rPr>
        <w:t>Sądów Lekarskich</w:t>
      </w:r>
    </w:p>
    <w:p w14:paraId="35894CD9" w14:textId="77777777" w:rsidR="008C7016" w:rsidRDefault="00B868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Ryn, 19-21 maja 2023 roku</w:t>
      </w:r>
    </w:p>
    <w:p w14:paraId="35894CDA" w14:textId="77777777" w:rsidR="008C7016" w:rsidRDefault="008C7016">
      <w:pPr>
        <w:jc w:val="center"/>
        <w:rPr>
          <w:rFonts w:ascii="Times New Roman" w:eastAsia="Times New Roman" w:hAnsi="Times New Roman" w:cs="Times New Roman"/>
          <w:b/>
          <w:sz w:val="28"/>
          <w:szCs w:val="28"/>
        </w:rPr>
      </w:pPr>
    </w:p>
    <w:p w14:paraId="35894CDB" w14:textId="77777777" w:rsidR="008C7016" w:rsidRDefault="008C7016">
      <w:pPr>
        <w:jc w:val="center"/>
        <w:rPr>
          <w:rFonts w:ascii="Times New Roman" w:eastAsia="Times New Roman" w:hAnsi="Times New Roman" w:cs="Times New Roman"/>
          <w:b/>
          <w:sz w:val="28"/>
          <w:szCs w:val="28"/>
          <w:u w:val="single"/>
        </w:rPr>
      </w:pPr>
    </w:p>
    <w:p w14:paraId="35894CDC" w14:textId="77777777" w:rsidR="008C7016" w:rsidRDefault="008C7016">
      <w:pPr>
        <w:jc w:val="center"/>
        <w:rPr>
          <w:rFonts w:ascii="Times New Roman" w:eastAsia="Times New Roman" w:hAnsi="Times New Roman" w:cs="Times New Roman"/>
          <w:b/>
          <w:i/>
          <w:color w:val="FF0000"/>
          <w:sz w:val="28"/>
          <w:szCs w:val="28"/>
          <w:u w:val="single"/>
        </w:rPr>
      </w:pPr>
    </w:p>
    <w:p w14:paraId="35894CDD" w14:textId="77777777" w:rsidR="008C7016" w:rsidRDefault="00B868A6">
      <w:pPr>
        <w:jc w:val="center"/>
        <w:rPr>
          <w:rFonts w:ascii="Times New Roman" w:eastAsia="Times New Roman" w:hAnsi="Times New Roman" w:cs="Times New Roman"/>
          <w:b/>
          <w:i/>
          <w:color w:val="FF0000"/>
          <w:sz w:val="28"/>
          <w:szCs w:val="28"/>
          <w:u w:val="single"/>
        </w:rPr>
      </w:pPr>
      <w:r>
        <w:rPr>
          <w:rFonts w:ascii="Times New Roman" w:eastAsia="Times New Roman" w:hAnsi="Times New Roman" w:cs="Times New Roman"/>
          <w:b/>
          <w:i/>
          <w:color w:val="FF0000"/>
          <w:sz w:val="28"/>
          <w:szCs w:val="28"/>
          <w:u w:val="single"/>
        </w:rPr>
        <w:t>19 maja 2023 roku (piątek)</w:t>
      </w:r>
    </w:p>
    <w:p w14:paraId="35894CDE" w14:textId="77777777" w:rsidR="008C7016" w:rsidRDefault="008C7016">
      <w:pPr>
        <w:rPr>
          <w:rFonts w:ascii="Times New Roman" w:eastAsia="Times New Roman" w:hAnsi="Times New Roman" w:cs="Times New Roman"/>
          <w:i/>
          <w:color w:val="FF0000"/>
          <w:sz w:val="28"/>
          <w:szCs w:val="28"/>
        </w:rPr>
      </w:pPr>
    </w:p>
    <w:p w14:paraId="35894CDF"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NROZ dr n.med. Zbigniew </w:t>
      </w:r>
      <w:r>
        <w:rPr>
          <w:rFonts w:ascii="Times New Roman" w:eastAsia="Times New Roman" w:hAnsi="Times New Roman" w:cs="Times New Roman"/>
          <w:sz w:val="24"/>
          <w:szCs w:val="24"/>
        </w:rPr>
        <w:t>Kuzyszyn wraz z Przewodniczącym Naczelnego Sądu Lekarskiego dr n.med. Jackiem Miarką powitali uczestników konferencji rozpoczynając szkolenie i zapraszając do udziału w pierwszej prelekcji.</w:t>
      </w:r>
    </w:p>
    <w:p w14:paraId="35894CE0" w14:textId="77777777" w:rsidR="008C7016" w:rsidRDefault="008C7016">
      <w:pPr>
        <w:spacing w:line="360" w:lineRule="auto"/>
        <w:jc w:val="both"/>
        <w:rPr>
          <w:rFonts w:ascii="Times New Roman" w:eastAsia="Times New Roman" w:hAnsi="Times New Roman" w:cs="Times New Roman"/>
          <w:b/>
          <w:sz w:val="24"/>
          <w:szCs w:val="24"/>
        </w:rPr>
      </w:pPr>
    </w:p>
    <w:p w14:paraId="35894CE1" w14:textId="77777777" w:rsidR="008C7016" w:rsidRDefault="00B868A6">
      <w:pPr>
        <w:numPr>
          <w:ilvl w:val="0"/>
          <w:numId w:val="6"/>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“Granice reklamy i informacji z uwzględnieniem obowiązujących prz</w:t>
      </w:r>
      <w:r>
        <w:rPr>
          <w:rFonts w:ascii="Times New Roman" w:eastAsia="Times New Roman" w:hAnsi="Times New Roman" w:cs="Times New Roman"/>
          <w:b/>
          <w:sz w:val="24"/>
          <w:szCs w:val="24"/>
        </w:rPr>
        <w:t xml:space="preserve">episów i roli lekarza w mediach społecznościowych. Aspekty prawne” - dr </w:t>
      </w:r>
      <w:proofErr w:type="spellStart"/>
      <w:r>
        <w:rPr>
          <w:rFonts w:ascii="Times New Roman" w:eastAsia="Times New Roman" w:hAnsi="Times New Roman" w:cs="Times New Roman"/>
          <w:b/>
          <w:sz w:val="24"/>
          <w:szCs w:val="24"/>
        </w:rPr>
        <w:t>n.med</w:t>
      </w:r>
      <w:proofErr w:type="spellEnd"/>
      <w:r>
        <w:rPr>
          <w:rFonts w:ascii="Times New Roman" w:eastAsia="Times New Roman" w:hAnsi="Times New Roman" w:cs="Times New Roman"/>
          <w:b/>
          <w:sz w:val="24"/>
          <w:szCs w:val="24"/>
        </w:rPr>
        <w:t xml:space="preserve"> Jacek Miarka</w:t>
      </w:r>
    </w:p>
    <w:p w14:paraId="35894CE2" w14:textId="77777777" w:rsidR="008C7016" w:rsidRDefault="008C7016">
      <w:pPr>
        <w:spacing w:line="360" w:lineRule="auto"/>
        <w:jc w:val="both"/>
        <w:rPr>
          <w:rFonts w:ascii="Times New Roman" w:eastAsia="Times New Roman" w:hAnsi="Times New Roman" w:cs="Times New Roman"/>
          <w:i/>
          <w:color w:val="00B050"/>
          <w:sz w:val="24"/>
          <w:szCs w:val="24"/>
        </w:rPr>
      </w:pPr>
    </w:p>
    <w:p w14:paraId="35894CE3"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Podczas prelekcji otwierającej konferencję szkoleniową, dr </w:t>
      </w:r>
      <w:proofErr w:type="spellStart"/>
      <w:r>
        <w:rPr>
          <w:rFonts w:ascii="Times New Roman" w:eastAsia="Times New Roman" w:hAnsi="Times New Roman" w:cs="Times New Roman"/>
          <w:sz w:val="24"/>
          <w:szCs w:val="24"/>
        </w:rPr>
        <w:t>n.med</w:t>
      </w:r>
      <w:proofErr w:type="spellEnd"/>
      <w:r>
        <w:rPr>
          <w:rFonts w:ascii="Times New Roman" w:eastAsia="Times New Roman" w:hAnsi="Times New Roman" w:cs="Times New Roman"/>
          <w:sz w:val="24"/>
          <w:szCs w:val="24"/>
        </w:rPr>
        <w:t xml:space="preserve"> Jacek Miarka przedstawił regulacje prawne związane z reklamowaniem w mediach społecznościowych, udzielanych przez lekarzy, świadczeń zdrowotnych. Prelegent wskazał, iż kluczowe dla omawianej </w:t>
      </w:r>
      <w:r>
        <w:rPr>
          <w:rFonts w:ascii="Times New Roman" w:eastAsia="Times New Roman" w:hAnsi="Times New Roman" w:cs="Times New Roman"/>
          <w:sz w:val="24"/>
          <w:szCs w:val="24"/>
        </w:rPr>
        <w:t>problematyki są: ustawa z dnia 15 kwietnia 2011 r. o działalności leczniczej, ustawa z dnia 16 kwietnia 1993 r. o zwalczaniu nieuczciwej konkurencji oraz Kodeks Etyki Lekarskiej, który-zgodnie z przytoczonym przez prelegenta orzeczeniem SN- stanowi podstaw</w:t>
      </w:r>
      <w:r>
        <w:rPr>
          <w:rFonts w:ascii="Times New Roman" w:eastAsia="Times New Roman" w:hAnsi="Times New Roman" w:cs="Times New Roman"/>
          <w:sz w:val="24"/>
          <w:szCs w:val="24"/>
        </w:rPr>
        <w:t>ę do konstruowania zarzutów dot. nieuczciwego reklamowania się lekarzy w mediach społecznościowych. Dr n.med. Jacek Miarka wskazał przykłady reklam odwołujących się do uczuć pacjenta, które umyślnie mogą potencjalnych klientów wprowadzać w błąd (m.in. rekl</w:t>
      </w:r>
      <w:r>
        <w:rPr>
          <w:rFonts w:ascii="Times New Roman" w:eastAsia="Times New Roman" w:hAnsi="Times New Roman" w:cs="Times New Roman"/>
          <w:sz w:val="24"/>
          <w:szCs w:val="24"/>
        </w:rPr>
        <w:t xml:space="preserve">amy na portalach medycznych, gdzie brak weryfikacji specjalizacji posiadanej przez lekarza). Podkreślił, że problem stanowi ustalenie granicy między dozwoloną informacją a zakazaną reklamą. </w:t>
      </w:r>
    </w:p>
    <w:p w14:paraId="35894CE4" w14:textId="77777777" w:rsidR="008C7016" w:rsidRDefault="008C7016">
      <w:pPr>
        <w:spacing w:line="360" w:lineRule="auto"/>
        <w:jc w:val="both"/>
        <w:rPr>
          <w:rFonts w:ascii="Times New Roman" w:eastAsia="Times New Roman" w:hAnsi="Times New Roman" w:cs="Times New Roman"/>
          <w:i/>
          <w:color w:val="00B050"/>
          <w:sz w:val="24"/>
          <w:szCs w:val="24"/>
        </w:rPr>
      </w:pPr>
    </w:p>
    <w:p w14:paraId="35894CE5" w14:textId="77777777" w:rsidR="008C7016" w:rsidRDefault="00B868A6">
      <w:pPr>
        <w:numPr>
          <w:ilvl w:val="0"/>
          <w:numId w:val="1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“Granice reklamy i informacji z uwzględnieniem obowiązujących pr</w:t>
      </w:r>
      <w:r>
        <w:rPr>
          <w:rFonts w:ascii="Times New Roman" w:eastAsia="Times New Roman" w:hAnsi="Times New Roman" w:cs="Times New Roman"/>
          <w:b/>
          <w:sz w:val="24"/>
          <w:szCs w:val="24"/>
        </w:rPr>
        <w:t xml:space="preserve">zepisów i roli lekarza w mediach społecznościowych” </w:t>
      </w:r>
      <w:r>
        <w:rPr>
          <w:rFonts w:ascii="Times New Roman" w:eastAsia="Times New Roman" w:hAnsi="Times New Roman" w:cs="Times New Roman"/>
          <w:b/>
          <w:i/>
          <w:sz w:val="24"/>
          <w:szCs w:val="24"/>
        </w:rPr>
        <w:t>prof. dr hab. Paweł Łuków</w:t>
      </w:r>
    </w:p>
    <w:p w14:paraId="35894CE6" w14:textId="77777777" w:rsidR="008C7016" w:rsidRDefault="008C7016">
      <w:pPr>
        <w:spacing w:line="360" w:lineRule="auto"/>
        <w:jc w:val="both"/>
        <w:rPr>
          <w:rFonts w:ascii="Times New Roman" w:eastAsia="Times New Roman" w:hAnsi="Times New Roman" w:cs="Times New Roman"/>
          <w:sz w:val="24"/>
          <w:szCs w:val="24"/>
        </w:rPr>
      </w:pPr>
    </w:p>
    <w:p w14:paraId="35894CE7"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Paweł Łuków na początku omówił kwestie związane z historią uregulowań etycznych w medycynie, w tym zapisy dotyczące reklam. Osobom związanym z zawodem medycznym </w:t>
      </w:r>
      <w:r>
        <w:rPr>
          <w:rFonts w:ascii="Times New Roman" w:eastAsia="Times New Roman" w:hAnsi="Times New Roman" w:cs="Times New Roman"/>
          <w:sz w:val="24"/>
          <w:szCs w:val="24"/>
        </w:rPr>
        <w:lastRenderedPageBreak/>
        <w:t>powierzane</w:t>
      </w:r>
      <w:r>
        <w:rPr>
          <w:rFonts w:ascii="Times New Roman" w:eastAsia="Times New Roman" w:hAnsi="Times New Roman" w:cs="Times New Roman"/>
          <w:sz w:val="24"/>
          <w:szCs w:val="24"/>
        </w:rPr>
        <w:t xml:space="preserve"> są najwyższe dobra człowieka jakim jest zdrowie i życie. W wykonywaniu zawodu lekarza pojawia się specyficzny konflikt pomiędzy powierzonym dobrem a interesem własnym, co może stanowić groźbę podporządkowania dobra drugiego człowieka korzyściom własnym. D</w:t>
      </w:r>
      <w:r>
        <w:rPr>
          <w:rFonts w:ascii="Times New Roman" w:eastAsia="Times New Roman" w:hAnsi="Times New Roman" w:cs="Times New Roman"/>
          <w:sz w:val="24"/>
          <w:szCs w:val="24"/>
        </w:rPr>
        <w:t>latego tak ważne są uregulowania etyczne. Prof. Łuków omówił różnice między informowaniem a reklamowaniem oraz warunki etycznej akceptowalności jednego i drugiego. Jego zdaniem, udział osób wykonujących zawód medyczny w reklamach może rodzić problemy związ</w:t>
      </w:r>
      <w:r>
        <w:rPr>
          <w:rFonts w:ascii="Times New Roman" w:eastAsia="Times New Roman" w:hAnsi="Times New Roman" w:cs="Times New Roman"/>
          <w:sz w:val="24"/>
          <w:szCs w:val="24"/>
        </w:rPr>
        <w:t xml:space="preserve">ane z ochroną pacjenta ze względu na perswazyjny charakter treści reklam.  W dalszej części prelekcji poruszone zostały kwestie związane ze standardami etycznymi w kontekście reklam usług medycznych. Przytoczona została treść art. 63 KEL. </w:t>
      </w:r>
    </w:p>
    <w:p w14:paraId="35894CE8"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Następnie Profes</w:t>
      </w:r>
      <w:r>
        <w:rPr>
          <w:rFonts w:ascii="Times New Roman" w:eastAsia="Times New Roman" w:hAnsi="Times New Roman" w:cs="Times New Roman"/>
          <w:sz w:val="24"/>
          <w:szCs w:val="24"/>
        </w:rPr>
        <w:t>or przedstawił zalety i zagrożenia związane z udziałem lekarzy w mediach społecznościowych, podkreślił także potrzebę dostosowania regulacji prawnych do nowych realiów kształtowanych przez media społecznościowe. Wskazał na problem braku kontroli nad tym, k</w:t>
      </w:r>
      <w:r>
        <w:rPr>
          <w:rFonts w:ascii="Times New Roman" w:eastAsia="Times New Roman" w:hAnsi="Times New Roman" w:cs="Times New Roman"/>
          <w:sz w:val="24"/>
          <w:szCs w:val="24"/>
        </w:rPr>
        <w:t xml:space="preserve">omu przedstawiany jest komunikat, czego negatywnym skutkiem może być opieranie wiedzy przez Pacjentów na reklamach świadczeń medycznych  zamieszczanych w </w:t>
      </w:r>
      <w:proofErr w:type="spellStart"/>
      <w:r>
        <w:rPr>
          <w:rFonts w:ascii="Times New Roman" w:eastAsia="Times New Roman" w:hAnsi="Times New Roman" w:cs="Times New Roman"/>
          <w:sz w:val="24"/>
          <w:szCs w:val="24"/>
        </w:rPr>
        <w:t>internecie</w:t>
      </w:r>
      <w:proofErr w:type="spellEnd"/>
      <w:r>
        <w:rPr>
          <w:rFonts w:ascii="Times New Roman" w:eastAsia="Times New Roman" w:hAnsi="Times New Roman" w:cs="Times New Roman"/>
          <w:sz w:val="24"/>
          <w:szCs w:val="24"/>
        </w:rPr>
        <w:t>. Kończąc wystąpienie Profesor podkreślił, że „Bycie lekarzem-profesjonalistą polega na dobr</w:t>
      </w:r>
      <w:r>
        <w:rPr>
          <w:rFonts w:ascii="Times New Roman" w:eastAsia="Times New Roman" w:hAnsi="Times New Roman" w:cs="Times New Roman"/>
          <w:sz w:val="24"/>
          <w:szCs w:val="24"/>
        </w:rPr>
        <w:t>owolnym samoograniczeniu zarówno w aktywnościach zawodowych, jak i w życiu prywatnym.” „Zawód lekarza staje się zawodem zaufania społecznego dzięki realizowaniu jego wymogów etycznych i  podstaw naukowych”.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 prelekcji odbyła się dyskusja.</w:t>
      </w:r>
    </w:p>
    <w:p w14:paraId="35894CE9" w14:textId="77777777" w:rsidR="008C7016" w:rsidRDefault="008C7016">
      <w:pPr>
        <w:spacing w:line="360" w:lineRule="auto"/>
        <w:jc w:val="both"/>
        <w:rPr>
          <w:rFonts w:ascii="Times New Roman" w:eastAsia="Times New Roman" w:hAnsi="Times New Roman" w:cs="Times New Roman"/>
          <w:b/>
          <w:sz w:val="24"/>
          <w:szCs w:val="24"/>
        </w:rPr>
      </w:pPr>
    </w:p>
    <w:p w14:paraId="35894CEA" w14:textId="77777777" w:rsidR="008C7016" w:rsidRDefault="008C7016">
      <w:pPr>
        <w:spacing w:line="360" w:lineRule="auto"/>
        <w:jc w:val="both"/>
        <w:rPr>
          <w:rFonts w:ascii="Times New Roman" w:eastAsia="Times New Roman" w:hAnsi="Times New Roman" w:cs="Times New Roman"/>
          <w:b/>
          <w:sz w:val="24"/>
          <w:szCs w:val="24"/>
        </w:rPr>
      </w:pPr>
    </w:p>
    <w:p w14:paraId="35894CEB" w14:textId="77777777" w:rsidR="008C7016" w:rsidRDefault="00B868A6">
      <w:pPr>
        <w:numPr>
          <w:ilvl w:val="0"/>
          <w:numId w:val="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“Pozbawienie </w:t>
      </w:r>
      <w:r>
        <w:rPr>
          <w:rFonts w:ascii="Times New Roman" w:eastAsia="Times New Roman" w:hAnsi="Times New Roman" w:cs="Times New Roman"/>
          <w:b/>
          <w:sz w:val="24"/>
          <w:szCs w:val="24"/>
        </w:rPr>
        <w:t xml:space="preserve">prawa wykonywania zawodu lekarza w orzecznictwie sądów lekarskich” - dr n.med. Jacek Miarka </w:t>
      </w:r>
    </w:p>
    <w:p w14:paraId="35894CEC" w14:textId="77777777" w:rsidR="008C7016" w:rsidRDefault="008C7016">
      <w:pPr>
        <w:spacing w:line="360" w:lineRule="auto"/>
        <w:jc w:val="both"/>
        <w:rPr>
          <w:rFonts w:ascii="Times New Roman" w:eastAsia="Times New Roman" w:hAnsi="Times New Roman" w:cs="Times New Roman"/>
          <w:sz w:val="24"/>
          <w:szCs w:val="24"/>
          <w:u w:val="single"/>
        </w:rPr>
      </w:pPr>
    </w:p>
    <w:p w14:paraId="35894CED" w14:textId="348EDD34" w:rsidR="008C7016" w:rsidRDefault="00B868A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Dr n.med. Jacek Miarka omówił specyfikę orzekania w Sądzie Lekarskim, odnosząc się do obowiązujących w tym zakresie przepisów prawa. Prelegent szczegółowo omówił </w:t>
      </w:r>
      <w:r>
        <w:rPr>
          <w:rFonts w:ascii="Times New Roman" w:eastAsia="Times New Roman" w:hAnsi="Times New Roman" w:cs="Times New Roman"/>
          <w:sz w:val="24"/>
          <w:szCs w:val="24"/>
        </w:rPr>
        <w:t>katalog kar przewidziany w ustawie o izbach lekarskich, uwzględniając zasady wymiaru kary i przytaczając regulacje prawne. Następnie dr n.med. Jacek Miarka przeprowadził analizę orzeczeń OSL i NSL, którymi lekarze lub lekarze dentyści zostali pozbawieni pr</w:t>
      </w:r>
      <w:r>
        <w:rPr>
          <w:rFonts w:ascii="Times New Roman" w:eastAsia="Times New Roman" w:hAnsi="Times New Roman" w:cs="Times New Roman"/>
          <w:sz w:val="24"/>
          <w:szCs w:val="24"/>
        </w:rPr>
        <w:t>awa wykonywania zawodu.  Sądy lekarskie odebrały w przeciągu ostatnich 15 lat prawo wykonywania zawodu 15 lekarzom. Najczęściej były to przewinienia zawodowe, które jednocześnie były przestępstwami. Doktor nawiązał do kwestii profesjonalizmu</w:t>
      </w:r>
      <w:r w:rsidR="00B965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poruszonej prz</w:t>
      </w:r>
      <w:r>
        <w:rPr>
          <w:rFonts w:ascii="Times New Roman" w:eastAsia="Times New Roman" w:hAnsi="Times New Roman" w:cs="Times New Roman"/>
          <w:sz w:val="24"/>
          <w:szCs w:val="24"/>
        </w:rPr>
        <w:t>ez przedmówcę</w:t>
      </w:r>
      <w:r w:rsidR="00B965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oraz specyfiki zawodu zaufania publicznego. Kara pozbawienia prawa do wykonywania zawodu lekarza jest konieczna</w:t>
      </w:r>
      <w:r w:rsidR="00B96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-jak stwierdził-,,</w:t>
      </w:r>
      <w:r>
        <w:rPr>
          <w:rFonts w:ascii="Times New Roman" w:eastAsia="Times New Roman" w:hAnsi="Times New Roman" w:cs="Times New Roman"/>
          <w:i/>
          <w:sz w:val="24"/>
          <w:szCs w:val="24"/>
        </w:rPr>
        <w:t>Kiedy lekarz nie zasługuje na to, aby być lekarzem</w:t>
      </w:r>
      <w:r>
        <w:rPr>
          <w:rFonts w:ascii="Times New Roman" w:eastAsia="Times New Roman" w:hAnsi="Times New Roman" w:cs="Times New Roman"/>
          <w:sz w:val="24"/>
          <w:szCs w:val="24"/>
        </w:rPr>
        <w:t>”. Kończąc swoje wystąpienie dr n.med. Jacek Miarka szczegółowo</w:t>
      </w:r>
      <w:r>
        <w:rPr>
          <w:rFonts w:ascii="Times New Roman" w:eastAsia="Times New Roman" w:hAnsi="Times New Roman" w:cs="Times New Roman"/>
          <w:sz w:val="24"/>
          <w:szCs w:val="24"/>
        </w:rPr>
        <w:t xml:space="preserve"> omówił </w:t>
      </w:r>
      <w:r>
        <w:rPr>
          <w:rFonts w:ascii="Times New Roman" w:eastAsia="Times New Roman" w:hAnsi="Times New Roman" w:cs="Times New Roman"/>
          <w:sz w:val="24"/>
          <w:szCs w:val="24"/>
        </w:rPr>
        <w:lastRenderedPageBreak/>
        <w:t>dotychczasowe przypadki, w których NSL zastosował najsurowszy wymiar kary wobec obwinionych. Po prelekcji odbyła się dyskusja.</w:t>
      </w:r>
    </w:p>
    <w:p w14:paraId="35894CEE" w14:textId="77777777" w:rsidR="008C7016" w:rsidRDefault="008C7016">
      <w:pPr>
        <w:spacing w:line="360" w:lineRule="auto"/>
        <w:jc w:val="both"/>
        <w:rPr>
          <w:rFonts w:ascii="Times New Roman" w:eastAsia="Times New Roman" w:hAnsi="Times New Roman" w:cs="Times New Roman"/>
          <w:b/>
          <w:sz w:val="24"/>
          <w:szCs w:val="24"/>
        </w:rPr>
      </w:pPr>
    </w:p>
    <w:p w14:paraId="35894CEF" w14:textId="77777777" w:rsidR="008C7016" w:rsidRDefault="00B868A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35894CF0" w14:textId="77777777" w:rsidR="008C7016" w:rsidRDefault="008C7016">
      <w:pPr>
        <w:spacing w:line="360" w:lineRule="auto"/>
        <w:jc w:val="both"/>
        <w:rPr>
          <w:rFonts w:ascii="Times New Roman" w:eastAsia="Times New Roman" w:hAnsi="Times New Roman" w:cs="Times New Roman"/>
          <w:sz w:val="24"/>
          <w:szCs w:val="24"/>
        </w:rPr>
      </w:pPr>
    </w:p>
    <w:p w14:paraId="35894CF1" w14:textId="77777777" w:rsidR="008C7016" w:rsidRDefault="008C7016">
      <w:pPr>
        <w:spacing w:line="360" w:lineRule="auto"/>
        <w:jc w:val="center"/>
        <w:rPr>
          <w:rFonts w:ascii="Times New Roman" w:eastAsia="Times New Roman" w:hAnsi="Times New Roman" w:cs="Times New Roman"/>
          <w:b/>
          <w:i/>
          <w:color w:val="FF0000"/>
          <w:sz w:val="28"/>
          <w:szCs w:val="28"/>
          <w:highlight w:val="yellow"/>
          <w:u w:val="single"/>
        </w:rPr>
      </w:pPr>
    </w:p>
    <w:p w14:paraId="35894CF2" w14:textId="77777777" w:rsidR="008C7016" w:rsidRDefault="00B868A6">
      <w:pPr>
        <w:spacing w:line="360" w:lineRule="auto"/>
        <w:jc w:val="center"/>
        <w:rPr>
          <w:rFonts w:ascii="Times New Roman" w:eastAsia="Times New Roman" w:hAnsi="Times New Roman" w:cs="Times New Roman"/>
          <w:b/>
          <w:i/>
          <w:color w:val="FF0000"/>
          <w:sz w:val="28"/>
          <w:szCs w:val="28"/>
          <w:u w:val="single"/>
        </w:rPr>
      </w:pPr>
      <w:r>
        <w:rPr>
          <w:rFonts w:ascii="Times New Roman" w:eastAsia="Times New Roman" w:hAnsi="Times New Roman" w:cs="Times New Roman"/>
          <w:b/>
          <w:i/>
          <w:color w:val="FF0000"/>
          <w:sz w:val="28"/>
          <w:szCs w:val="28"/>
          <w:u w:val="single"/>
        </w:rPr>
        <w:t>20 maja 2023 r. (sobota)</w:t>
      </w:r>
    </w:p>
    <w:p w14:paraId="35894CF3" w14:textId="77777777" w:rsidR="008C7016" w:rsidRDefault="008C7016">
      <w:pPr>
        <w:spacing w:line="360" w:lineRule="auto"/>
        <w:jc w:val="both"/>
        <w:rPr>
          <w:rFonts w:ascii="Times New Roman" w:eastAsia="Times New Roman" w:hAnsi="Times New Roman" w:cs="Times New Roman"/>
          <w:sz w:val="24"/>
          <w:szCs w:val="24"/>
        </w:rPr>
      </w:pPr>
    </w:p>
    <w:p w14:paraId="35894CF4" w14:textId="77777777" w:rsidR="008C7016" w:rsidRDefault="00B868A6">
      <w:pPr>
        <w:numPr>
          <w:ilvl w:val="0"/>
          <w:numId w:val="8"/>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“Przedawnienie ścigania i karalności na podstawie wyroku i postanowienia Sądu Najwyższego” - NROZ dr n. med. Zbigniew Kuzyszyn, r.pr. Marek Szewczyński</w:t>
      </w:r>
    </w:p>
    <w:p w14:paraId="35894CF5" w14:textId="77777777" w:rsidR="008C7016" w:rsidRDefault="008C7016">
      <w:pPr>
        <w:spacing w:line="360" w:lineRule="auto"/>
        <w:jc w:val="both"/>
        <w:rPr>
          <w:rFonts w:ascii="Times New Roman" w:eastAsia="Times New Roman" w:hAnsi="Times New Roman" w:cs="Times New Roman"/>
          <w:sz w:val="24"/>
          <w:szCs w:val="24"/>
        </w:rPr>
      </w:pPr>
    </w:p>
    <w:p w14:paraId="35894CF6"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NROZ dr n.med. Zbigniew Kuzyszyn i r.pr. Marek Szewczyński przeprowadzili analizę orzecznictwa Sądu Naj</w:t>
      </w:r>
      <w:r>
        <w:rPr>
          <w:rFonts w:ascii="Times New Roman" w:eastAsia="Times New Roman" w:hAnsi="Times New Roman" w:cs="Times New Roman"/>
          <w:sz w:val="24"/>
          <w:szCs w:val="24"/>
        </w:rPr>
        <w:t>wyższego, dot. przedawnienia ścigania i karalności przewinień zawodowych.  Zgodnie z art. 64 ust. 1 i 3 ustawy z dnia 2 grudnia 2009 r. o izbach lekarskich nie można wszcząć postępowania w przedmiocie odpowiedzialności zawodowej lekarzy, jeżeli od chwili p</w:t>
      </w:r>
      <w:r>
        <w:rPr>
          <w:rFonts w:ascii="Times New Roman" w:eastAsia="Times New Roman" w:hAnsi="Times New Roman" w:cs="Times New Roman"/>
          <w:sz w:val="24"/>
          <w:szCs w:val="24"/>
        </w:rPr>
        <w:t>opełnienia czynu upłynęły 3 lata, a karalność przewinienia zawodowego ustaje, jeżeli od czasu jego popełnienia upłynęło 5 lat. Należy jednak pamiętać, że jeżeli czyn będący przewinieniem zawodowym stanowi jednocześnie przestępstwo, to ustanie jego karalnoś</w:t>
      </w:r>
      <w:r>
        <w:rPr>
          <w:rFonts w:ascii="Times New Roman" w:eastAsia="Times New Roman" w:hAnsi="Times New Roman" w:cs="Times New Roman"/>
          <w:sz w:val="24"/>
          <w:szCs w:val="24"/>
        </w:rPr>
        <w:t>ci następuje nie wcześniej niż ustanie karalności przestępstwa. Dotyczy to także możliwości wszczęcia postępowania wyjaśniającego po upływie 3 lat od daty czynu. Omówiono moc wiążącą rozstrzygnięć sądów powszechnych a także instytucję umorzenia postępowani</w:t>
      </w:r>
      <w:r>
        <w:rPr>
          <w:rFonts w:ascii="Times New Roman" w:eastAsia="Times New Roman" w:hAnsi="Times New Roman" w:cs="Times New Roman"/>
          <w:sz w:val="24"/>
          <w:szCs w:val="24"/>
        </w:rPr>
        <w:t>a przez sąd lekarski.</w:t>
      </w:r>
    </w:p>
    <w:p w14:paraId="35894CF7" w14:textId="77777777" w:rsidR="008C7016" w:rsidRDefault="008C7016">
      <w:pPr>
        <w:spacing w:line="360" w:lineRule="auto"/>
        <w:ind w:left="720"/>
        <w:jc w:val="both"/>
        <w:rPr>
          <w:rFonts w:ascii="Times New Roman" w:eastAsia="Times New Roman" w:hAnsi="Times New Roman" w:cs="Times New Roman"/>
          <w:sz w:val="24"/>
          <w:szCs w:val="24"/>
        </w:rPr>
      </w:pPr>
    </w:p>
    <w:p w14:paraId="35894CF8" w14:textId="77777777" w:rsidR="008C7016" w:rsidRDefault="00B868A6">
      <w:pPr>
        <w:numPr>
          <w:ilvl w:val="0"/>
          <w:numId w:val="12"/>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“Przesłanki zwrotu wniosku o ukaranie do rzecznika odpowiedzialności zawodowej na przykładzie kazusów NSL”- dr Piotr </w:t>
      </w:r>
      <w:proofErr w:type="spellStart"/>
      <w:r>
        <w:rPr>
          <w:rFonts w:ascii="Times New Roman" w:eastAsia="Times New Roman" w:hAnsi="Times New Roman" w:cs="Times New Roman"/>
          <w:b/>
          <w:sz w:val="24"/>
          <w:szCs w:val="24"/>
        </w:rPr>
        <w:t>Winciunas</w:t>
      </w:r>
      <w:proofErr w:type="spellEnd"/>
      <w:r>
        <w:rPr>
          <w:rFonts w:ascii="Times New Roman" w:eastAsia="Times New Roman" w:hAnsi="Times New Roman" w:cs="Times New Roman"/>
          <w:b/>
          <w:sz w:val="24"/>
          <w:szCs w:val="24"/>
        </w:rPr>
        <w:t xml:space="preserve">, </w:t>
      </w:r>
    </w:p>
    <w:p w14:paraId="35894CF9" w14:textId="72F8BC52"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tej części szkolenia dr Piotr </w:t>
      </w:r>
      <w:proofErr w:type="spellStart"/>
      <w:r>
        <w:rPr>
          <w:rFonts w:ascii="Times New Roman" w:eastAsia="Times New Roman" w:hAnsi="Times New Roman" w:cs="Times New Roman"/>
          <w:sz w:val="24"/>
          <w:szCs w:val="24"/>
        </w:rPr>
        <w:t>Winciunas</w:t>
      </w:r>
      <w:proofErr w:type="spellEnd"/>
      <w:r>
        <w:rPr>
          <w:rFonts w:ascii="Times New Roman" w:eastAsia="Times New Roman" w:hAnsi="Times New Roman" w:cs="Times New Roman"/>
          <w:sz w:val="24"/>
          <w:szCs w:val="24"/>
        </w:rPr>
        <w:t xml:space="preserve"> szczegółowo omówił przesłanki zwrotu wniosku o ukaranie do rze</w:t>
      </w:r>
      <w:r>
        <w:rPr>
          <w:rFonts w:ascii="Times New Roman" w:eastAsia="Times New Roman" w:hAnsi="Times New Roman" w:cs="Times New Roman"/>
          <w:sz w:val="24"/>
          <w:szCs w:val="24"/>
        </w:rPr>
        <w:t xml:space="preserve">cznika odpowiedzialności zawodowej. </w:t>
      </w:r>
      <w:r w:rsidR="00A36ED3">
        <w:rPr>
          <w:rFonts w:ascii="Times New Roman" w:eastAsia="Times New Roman" w:hAnsi="Times New Roman" w:cs="Times New Roman"/>
          <w:sz w:val="24"/>
          <w:szCs w:val="24"/>
        </w:rPr>
        <w:t>Na marginesie zaznaczył, że zbyt często OSL korzystają z mo</w:t>
      </w:r>
      <w:r>
        <w:rPr>
          <w:rFonts w:ascii="Times New Roman" w:eastAsia="Times New Roman" w:hAnsi="Times New Roman" w:cs="Times New Roman"/>
          <w:sz w:val="24"/>
          <w:szCs w:val="24"/>
        </w:rPr>
        <w:t>ż</w:t>
      </w:r>
      <w:r w:rsidR="00A36ED3">
        <w:rPr>
          <w:rFonts w:ascii="Times New Roman" w:eastAsia="Times New Roman" w:hAnsi="Times New Roman" w:cs="Times New Roman"/>
          <w:sz w:val="24"/>
          <w:szCs w:val="24"/>
        </w:rPr>
        <w:t>liwości zwrotu wniosku o ukaranie</w:t>
      </w:r>
      <w:r>
        <w:rPr>
          <w:rFonts w:ascii="Times New Roman" w:eastAsia="Times New Roman" w:hAnsi="Times New Roman" w:cs="Times New Roman"/>
          <w:sz w:val="24"/>
          <w:szCs w:val="24"/>
        </w:rPr>
        <w:t xml:space="preserve"> do rzeczników, co zdecydowanie wpływa na przedłużanie postępowań. OSL zwracają sprawy do uzupełnienia postępowania o przesłuchania świadków czy powołania dodatkowych biegłych, coś co sąd może sam zrobić. </w:t>
      </w:r>
      <w:r>
        <w:rPr>
          <w:rFonts w:ascii="Times New Roman" w:eastAsia="Times New Roman" w:hAnsi="Times New Roman" w:cs="Times New Roman"/>
          <w:sz w:val="24"/>
          <w:szCs w:val="24"/>
        </w:rPr>
        <w:t>Posłużył się kazusami powstałymi na bazie dotychczasowych postępowań prowadzonych przez NSL. W pierwszym z przedstawionych kazusów zwrócono uwagę na fakt, iż jedną z podstawowych przesłanek są istotne braki w postępowani</w:t>
      </w:r>
      <w:r>
        <w:rPr>
          <w:rFonts w:ascii="Times New Roman" w:eastAsia="Times New Roman" w:hAnsi="Times New Roman" w:cs="Times New Roman"/>
          <w:sz w:val="24"/>
          <w:szCs w:val="24"/>
        </w:rPr>
        <w:t xml:space="preserve">u wyjaśniającym prowadzonym </w:t>
      </w:r>
      <w:r>
        <w:rPr>
          <w:rFonts w:ascii="Times New Roman" w:eastAsia="Times New Roman" w:hAnsi="Times New Roman" w:cs="Times New Roman"/>
          <w:sz w:val="24"/>
          <w:szCs w:val="24"/>
        </w:rPr>
        <w:lastRenderedPageBreak/>
        <w:t>przez OROZ (jak np. zła konstrukcja zarzutu, czy też niepoprawny sposób jego przedstawienia</w:t>
      </w:r>
      <w:r w:rsidR="00B9654F">
        <w:rPr>
          <w:rFonts w:ascii="Times New Roman" w:eastAsia="Times New Roman" w:hAnsi="Times New Roman" w:cs="Times New Roman"/>
          <w:sz w:val="24"/>
          <w:szCs w:val="24"/>
        </w:rPr>
        <w:t>)</w:t>
      </w:r>
      <w:r>
        <w:rPr>
          <w:rFonts w:ascii="Times New Roman" w:eastAsia="Times New Roman" w:hAnsi="Times New Roman" w:cs="Times New Roman"/>
          <w:sz w:val="24"/>
          <w:szCs w:val="24"/>
        </w:rPr>
        <w:t>. W drugim z kazusów- dotyczącym reklamy- pochylono się nad kwestią wskazania nieprawidłowej dla danego zarzutu kwalifikacji prawnej. Tak</w:t>
      </w:r>
      <w:r>
        <w:rPr>
          <w:rFonts w:ascii="Times New Roman" w:eastAsia="Times New Roman" w:hAnsi="Times New Roman" w:cs="Times New Roman"/>
          <w:sz w:val="24"/>
          <w:szCs w:val="24"/>
        </w:rPr>
        <w:t>a sytuacja również stanowi przesłankę zwrotu wniosku o ukaranie do rzecznika odpowiedzialności zawodowej.</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Dr Piotr </w:t>
      </w:r>
      <w:proofErr w:type="spellStart"/>
      <w:r>
        <w:rPr>
          <w:rFonts w:ascii="Times New Roman" w:eastAsia="Times New Roman" w:hAnsi="Times New Roman" w:cs="Times New Roman"/>
          <w:sz w:val="24"/>
          <w:szCs w:val="24"/>
        </w:rPr>
        <w:t>Winciunas</w:t>
      </w:r>
      <w:proofErr w:type="spellEnd"/>
      <w:r>
        <w:rPr>
          <w:rFonts w:ascii="Times New Roman" w:eastAsia="Times New Roman" w:hAnsi="Times New Roman" w:cs="Times New Roman"/>
          <w:sz w:val="24"/>
          <w:szCs w:val="24"/>
        </w:rPr>
        <w:t xml:space="preserve"> przedstawił także katalog tzw. bezwzględnych przesłanek odwoławczych, do którego należy m.in. nieprzedstawienie przez rzecznika zar</w:t>
      </w:r>
      <w:r>
        <w:rPr>
          <w:rFonts w:ascii="Times New Roman" w:eastAsia="Times New Roman" w:hAnsi="Times New Roman" w:cs="Times New Roman"/>
          <w:sz w:val="24"/>
          <w:szCs w:val="24"/>
        </w:rPr>
        <w:t>zutów.  Po prelekcji odbyła się dyskusja.</w:t>
      </w:r>
    </w:p>
    <w:p w14:paraId="35894CFA" w14:textId="77777777" w:rsidR="008C7016" w:rsidRDefault="008C7016">
      <w:pPr>
        <w:spacing w:line="360" w:lineRule="auto"/>
        <w:jc w:val="both"/>
        <w:rPr>
          <w:rFonts w:ascii="Times New Roman" w:eastAsia="Times New Roman" w:hAnsi="Times New Roman" w:cs="Times New Roman"/>
          <w:b/>
          <w:sz w:val="24"/>
          <w:szCs w:val="24"/>
        </w:rPr>
      </w:pPr>
    </w:p>
    <w:p w14:paraId="35894CFB" w14:textId="77777777" w:rsidR="008C7016" w:rsidRDefault="00B868A6">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“Przewlekłość na etapie postępowania u rzecznika- prolongaty” - NROZ dr n.med. Zbigniew Kuzyszyn</w:t>
      </w:r>
    </w:p>
    <w:p w14:paraId="35894CFC" w14:textId="77777777" w:rsidR="008C7016" w:rsidRDefault="008C7016">
      <w:pPr>
        <w:spacing w:line="360" w:lineRule="auto"/>
        <w:jc w:val="both"/>
        <w:rPr>
          <w:rFonts w:ascii="Times New Roman" w:eastAsia="Times New Roman" w:hAnsi="Times New Roman" w:cs="Times New Roman"/>
          <w:b/>
          <w:sz w:val="24"/>
          <w:szCs w:val="24"/>
        </w:rPr>
      </w:pPr>
    </w:p>
    <w:p w14:paraId="35894CFD" w14:textId="13BFE732"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Naczelny Rzecznik Odpowiedzialności Zawodowej- dr n.med. Zbigniew Kuzyszyn w swojej prezentacji przedstawił przykła</w:t>
      </w:r>
      <w:r>
        <w:rPr>
          <w:rFonts w:ascii="Times New Roman" w:eastAsia="Times New Roman" w:hAnsi="Times New Roman" w:cs="Times New Roman"/>
          <w:sz w:val="24"/>
          <w:szCs w:val="24"/>
        </w:rPr>
        <w:t>dowe prolongaty, jednocześnie dokonując oceny słuszności wydawania tego rodzaju postanowień w poszczególnych postępowaniach. Prelegent omówił sytuacje, w których postępowanie prowadzone przez rzecznika zostało niepotrzebnie przedłużone, wskazując skutki ta</w:t>
      </w:r>
      <w:r>
        <w:rPr>
          <w:rFonts w:ascii="Times New Roman" w:eastAsia="Times New Roman" w:hAnsi="Times New Roman" w:cs="Times New Roman"/>
          <w:sz w:val="24"/>
          <w:szCs w:val="24"/>
        </w:rPr>
        <w:t>kiego działania. Dr n.med. Zbigniew Kuzyszyn zidentyfikował główne powody opóźnień w czynnościach, wskazując m.in. niestawiennictwo stron na przesłuchania</w:t>
      </w:r>
      <w:r>
        <w:rPr>
          <w:rFonts w:ascii="Times New Roman" w:eastAsia="Times New Roman" w:hAnsi="Times New Roman" w:cs="Times New Roman"/>
          <w:sz w:val="24"/>
          <w:szCs w:val="24"/>
        </w:rPr>
        <w:t>. Często mają miejsce sytuacje, kiedy do Sądu Lekarskiego wpływają zaświadczenia lekarskie dot. niemożności st</w:t>
      </w:r>
      <w:r>
        <w:rPr>
          <w:rFonts w:ascii="Times New Roman" w:eastAsia="Times New Roman" w:hAnsi="Times New Roman" w:cs="Times New Roman"/>
          <w:sz w:val="24"/>
          <w:szCs w:val="24"/>
        </w:rPr>
        <w:t xml:space="preserve">awiennictwa. SL ma prawo weryfikacji / dalej: nieuznania danego zaświadczenia lekarskiego (aby zapobiec przedłużeniu się postępowania). Podobnie- kwestia </w:t>
      </w:r>
      <w:r>
        <w:rPr>
          <w:rFonts w:ascii="Times New Roman" w:eastAsia="Times New Roman" w:hAnsi="Times New Roman" w:cs="Times New Roman"/>
          <w:sz w:val="24"/>
          <w:szCs w:val="24"/>
          <w:u w:val="single"/>
        </w:rPr>
        <w:t>zaplanowanego wyjazdu</w:t>
      </w:r>
      <w:r>
        <w:rPr>
          <w:rFonts w:ascii="Times New Roman" w:eastAsia="Times New Roman" w:hAnsi="Times New Roman" w:cs="Times New Roman"/>
          <w:sz w:val="24"/>
          <w:szCs w:val="24"/>
        </w:rPr>
        <w:t xml:space="preserve">. Następnie- </w:t>
      </w:r>
      <w:r>
        <w:rPr>
          <w:rFonts w:ascii="Times New Roman" w:eastAsia="Times New Roman" w:hAnsi="Times New Roman" w:cs="Times New Roman"/>
          <w:sz w:val="24"/>
          <w:szCs w:val="24"/>
          <w:u w:val="single"/>
        </w:rPr>
        <w:t>kolizja terminów</w:t>
      </w:r>
      <w:r>
        <w:rPr>
          <w:rFonts w:ascii="Times New Roman" w:eastAsia="Times New Roman" w:hAnsi="Times New Roman" w:cs="Times New Roman"/>
          <w:sz w:val="24"/>
          <w:szCs w:val="24"/>
        </w:rPr>
        <w:t>: NSL nie odracza rozprawy, jeśli stwierdzi fakt ist</w:t>
      </w:r>
      <w:r>
        <w:rPr>
          <w:rFonts w:ascii="Times New Roman" w:eastAsia="Times New Roman" w:hAnsi="Times New Roman" w:cs="Times New Roman"/>
          <w:sz w:val="24"/>
          <w:szCs w:val="24"/>
        </w:rPr>
        <w:t>nienia powództwa substytucyjnego. Od godziny 13:30 odbyła się dyskusja dot. potencjalnych trudności w prowadzeniu postępowania.</w:t>
      </w:r>
    </w:p>
    <w:p w14:paraId="35894CFE" w14:textId="77777777" w:rsidR="008C7016" w:rsidRDefault="008C7016">
      <w:pPr>
        <w:spacing w:line="360" w:lineRule="auto"/>
        <w:ind w:left="720"/>
        <w:jc w:val="both"/>
        <w:rPr>
          <w:rFonts w:ascii="Times New Roman" w:eastAsia="Times New Roman" w:hAnsi="Times New Roman" w:cs="Times New Roman"/>
          <w:sz w:val="24"/>
          <w:szCs w:val="24"/>
        </w:rPr>
      </w:pPr>
    </w:p>
    <w:p w14:paraId="35894CFF" w14:textId="77777777" w:rsidR="008C7016" w:rsidRDefault="00B868A6">
      <w:pPr>
        <w:numPr>
          <w:ilvl w:val="0"/>
          <w:numId w:val="7"/>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“Przejęcie do wykonania orzeczeń zagranicznych”- dr n.pr. Paulina Tomaszewska</w:t>
      </w:r>
    </w:p>
    <w:p w14:paraId="35894D00" w14:textId="77777777" w:rsidR="008C7016" w:rsidRDefault="008C7016">
      <w:pPr>
        <w:spacing w:line="360" w:lineRule="auto"/>
        <w:jc w:val="both"/>
        <w:rPr>
          <w:rFonts w:ascii="Times New Roman" w:eastAsia="Times New Roman" w:hAnsi="Times New Roman" w:cs="Times New Roman"/>
          <w:b/>
          <w:sz w:val="24"/>
          <w:szCs w:val="24"/>
        </w:rPr>
      </w:pPr>
    </w:p>
    <w:p w14:paraId="35894D01"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Prelegentka na przykładzie kazusów omówiła sytua</w:t>
      </w:r>
      <w:r>
        <w:rPr>
          <w:rFonts w:ascii="Times New Roman" w:eastAsia="Times New Roman" w:hAnsi="Times New Roman" w:cs="Times New Roman"/>
          <w:sz w:val="24"/>
          <w:szCs w:val="24"/>
        </w:rPr>
        <w:t>cję, dot. przejęcia do wykonania orzeczeń zagranicznych- m.in. w sytuacjach, kiedy lekarz popełnia czyn stanowiący przewinienie zawodowe zarówno w Polsce, jak i w innym kraju, posiadając jednocześnie prawo do wykonywania zawodu w obu państwach. Główny prob</w:t>
      </w:r>
      <w:r>
        <w:rPr>
          <w:rFonts w:ascii="Times New Roman" w:eastAsia="Times New Roman" w:hAnsi="Times New Roman" w:cs="Times New Roman"/>
          <w:sz w:val="24"/>
          <w:szCs w:val="24"/>
        </w:rPr>
        <w:t>lem w tego rodzaju sytuacjach stanowi brak odpowiednich regulacji w ustawodawstwie UE. Dr n.pr. Paulina Tomaszewska omawiając kazusy wskazała na możliwość posługiwania się przepisami kodeksu postępowania karnego w kwestiach nieuregulowanych ustawą o z dnia</w:t>
      </w:r>
      <w:r>
        <w:rPr>
          <w:rFonts w:ascii="Times New Roman" w:eastAsia="Times New Roman" w:hAnsi="Times New Roman" w:cs="Times New Roman"/>
          <w:sz w:val="24"/>
          <w:szCs w:val="24"/>
        </w:rPr>
        <w:t xml:space="preserve"> 2 grudnia 2009 r. o izbach lekarskich. </w:t>
      </w:r>
    </w:p>
    <w:p w14:paraId="35894D02" w14:textId="77777777" w:rsidR="008C7016" w:rsidRDefault="008C7016">
      <w:pPr>
        <w:spacing w:line="360" w:lineRule="auto"/>
        <w:jc w:val="both"/>
        <w:rPr>
          <w:rFonts w:ascii="Times New Roman" w:eastAsia="Times New Roman" w:hAnsi="Times New Roman" w:cs="Times New Roman"/>
          <w:sz w:val="24"/>
          <w:szCs w:val="24"/>
          <w:u w:val="single"/>
        </w:rPr>
      </w:pPr>
    </w:p>
    <w:p w14:paraId="35894D03" w14:textId="77777777" w:rsidR="008C7016" w:rsidRDefault="00B868A6">
      <w:pPr>
        <w:spacing w:line="360" w:lineRule="auto"/>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u w:val="single"/>
        </w:rPr>
        <w:lastRenderedPageBreak/>
        <w:t>Osobny panel rzeczników odpowiedzialności zawodowej</w:t>
      </w:r>
    </w:p>
    <w:p w14:paraId="35894D04" w14:textId="77777777" w:rsidR="008C7016" w:rsidRDefault="008C7016">
      <w:pPr>
        <w:spacing w:line="360" w:lineRule="auto"/>
        <w:jc w:val="both"/>
        <w:rPr>
          <w:rFonts w:ascii="Times New Roman" w:eastAsia="Times New Roman" w:hAnsi="Times New Roman" w:cs="Times New Roman"/>
          <w:i/>
          <w:color w:val="FF0000"/>
          <w:sz w:val="24"/>
          <w:szCs w:val="24"/>
          <w:u w:val="single"/>
        </w:rPr>
      </w:pPr>
    </w:p>
    <w:p w14:paraId="35894D05" w14:textId="77777777" w:rsidR="008C7016" w:rsidRDefault="00B868A6">
      <w:pPr>
        <w:numPr>
          <w:ilvl w:val="0"/>
          <w:numId w:val="2"/>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Anonimizacja</w:t>
      </w:r>
      <w:proofErr w:type="spellEnd"/>
      <w:r>
        <w:rPr>
          <w:rFonts w:ascii="Times New Roman" w:eastAsia="Times New Roman" w:hAnsi="Times New Roman" w:cs="Times New Roman"/>
          <w:b/>
          <w:sz w:val="24"/>
          <w:szCs w:val="24"/>
        </w:rPr>
        <w:t xml:space="preserve"> kart w aktach, prowadzenie akt”- r.pr. Marek Szewczyński, dr n.pr. Paulina Tomaszewska</w:t>
      </w:r>
    </w:p>
    <w:p w14:paraId="35894D06" w14:textId="77777777" w:rsidR="008C7016" w:rsidRDefault="008C7016">
      <w:pPr>
        <w:spacing w:line="360" w:lineRule="auto"/>
        <w:jc w:val="both"/>
        <w:rPr>
          <w:rFonts w:ascii="Times New Roman" w:eastAsia="Times New Roman" w:hAnsi="Times New Roman" w:cs="Times New Roman"/>
          <w:b/>
          <w:sz w:val="24"/>
          <w:szCs w:val="24"/>
        </w:rPr>
      </w:pPr>
    </w:p>
    <w:p w14:paraId="35894D07" w14:textId="77777777" w:rsidR="008C7016" w:rsidRDefault="00B868A6">
      <w:pPr>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Podczas wykładu otwierającego panel rzeczników odpowiedzialności zawodowej, prelegenci- r.pr. Marek Szewczyński i dr n.pr. Paulina Tomaszewska omówili pro</w:t>
      </w:r>
      <w:r>
        <w:rPr>
          <w:rFonts w:ascii="Times New Roman" w:eastAsia="Times New Roman" w:hAnsi="Times New Roman" w:cs="Times New Roman"/>
          <w:sz w:val="24"/>
          <w:szCs w:val="24"/>
        </w:rPr>
        <w:t xml:space="preserve">blematykę </w:t>
      </w:r>
      <w:proofErr w:type="spellStart"/>
      <w:r>
        <w:rPr>
          <w:rFonts w:ascii="Times New Roman" w:eastAsia="Times New Roman" w:hAnsi="Times New Roman" w:cs="Times New Roman"/>
          <w:sz w:val="24"/>
          <w:szCs w:val="24"/>
        </w:rPr>
        <w:t>anonimizacji</w:t>
      </w:r>
      <w:proofErr w:type="spellEnd"/>
      <w:r>
        <w:rPr>
          <w:rFonts w:ascii="Times New Roman" w:eastAsia="Times New Roman" w:hAnsi="Times New Roman" w:cs="Times New Roman"/>
          <w:sz w:val="24"/>
          <w:szCs w:val="24"/>
        </w:rPr>
        <w:t xml:space="preserve"> kart w aktach ze szczególnym uwzględnieniem danych dot. miejsca zamieszkania i miejsca pracy pokrzywdzonych i świadków. Zgodnie z art. 148a § 1 ustawy z dnia 6 czerwca 1997 r. Kodeks postępowania karnego- w protokole czynności proces</w:t>
      </w:r>
      <w:r>
        <w:rPr>
          <w:rFonts w:ascii="Times New Roman" w:eastAsia="Times New Roman" w:hAnsi="Times New Roman" w:cs="Times New Roman"/>
          <w:sz w:val="24"/>
          <w:szCs w:val="24"/>
        </w:rPr>
        <w:t>owej (najczęściej chodzi o protokół przesłuchania) nie zamieszcza się danych dotyczących miejsca zamieszkania i miejsca pracy, a także numeru telefonu, telefaksu ani adresu poczty elektronicznej pokrzywdzonych i świadków uczestniczących w czynności. Dane t</w:t>
      </w:r>
      <w:r>
        <w:rPr>
          <w:rFonts w:ascii="Times New Roman" w:eastAsia="Times New Roman" w:hAnsi="Times New Roman" w:cs="Times New Roman"/>
          <w:sz w:val="24"/>
          <w:szCs w:val="24"/>
        </w:rPr>
        <w:t xml:space="preserve">e zamieszcza się w załączniku do protokołu, a załącznik ten przechowuje się w odrębnym załączniku adresowym do akt sprawy.  Przedstawiono także wszelkiego rodzaju odstępstwa od prezentowanej zasady, które wprowadzają art. 148a § 2 </w:t>
      </w:r>
      <w:proofErr w:type="spellStart"/>
      <w:r>
        <w:rPr>
          <w:rFonts w:ascii="Times New Roman" w:eastAsia="Times New Roman" w:hAnsi="Times New Roman" w:cs="Times New Roman"/>
          <w:sz w:val="24"/>
          <w:szCs w:val="24"/>
        </w:rPr>
        <w:t>kpk</w:t>
      </w:r>
      <w:proofErr w:type="spellEnd"/>
      <w:r>
        <w:rPr>
          <w:rFonts w:ascii="Times New Roman" w:eastAsia="Times New Roman" w:hAnsi="Times New Roman" w:cs="Times New Roman"/>
          <w:sz w:val="24"/>
          <w:szCs w:val="24"/>
        </w:rPr>
        <w:t xml:space="preserve">, art. 148a § 4 </w:t>
      </w:r>
      <w:proofErr w:type="spellStart"/>
      <w:r>
        <w:rPr>
          <w:rFonts w:ascii="Times New Roman" w:eastAsia="Times New Roman" w:hAnsi="Times New Roman" w:cs="Times New Roman"/>
          <w:sz w:val="24"/>
          <w:szCs w:val="24"/>
        </w:rPr>
        <w:t>kpk</w:t>
      </w:r>
      <w:proofErr w:type="spellEnd"/>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art. 148a § 5 </w:t>
      </w:r>
      <w:proofErr w:type="spellStart"/>
      <w:r>
        <w:rPr>
          <w:rFonts w:ascii="Times New Roman" w:eastAsia="Times New Roman" w:hAnsi="Times New Roman" w:cs="Times New Roman"/>
          <w:sz w:val="24"/>
          <w:szCs w:val="24"/>
        </w:rPr>
        <w:t>kpk</w:t>
      </w:r>
      <w:proofErr w:type="spellEnd"/>
      <w:r>
        <w:rPr>
          <w:rFonts w:ascii="Times New Roman" w:eastAsia="Times New Roman" w:hAnsi="Times New Roman" w:cs="Times New Roman"/>
          <w:sz w:val="24"/>
          <w:szCs w:val="24"/>
        </w:rPr>
        <w:t>. W ślad za pojawiającymi się wątpliwościami co do celowości ochrony w niektórych sytuacjach lub braku możliwości zapewnienia realności wskazanej ochrony danych ustawodawca przewidział w art. 148a § 4 k.p.k. trzy sytuacje umożliwiające ods</w:t>
      </w:r>
      <w:r>
        <w:rPr>
          <w:rFonts w:ascii="Times New Roman" w:eastAsia="Times New Roman" w:hAnsi="Times New Roman" w:cs="Times New Roman"/>
          <w:sz w:val="24"/>
          <w:szCs w:val="24"/>
        </w:rPr>
        <w:t xml:space="preserve">tąpienie od dyrektyw </w:t>
      </w:r>
      <w:proofErr w:type="spellStart"/>
      <w:r>
        <w:rPr>
          <w:rFonts w:ascii="Times New Roman" w:eastAsia="Times New Roman" w:hAnsi="Times New Roman" w:cs="Times New Roman"/>
          <w:sz w:val="24"/>
          <w:szCs w:val="24"/>
        </w:rPr>
        <w:t>anonimizacji</w:t>
      </w:r>
      <w:proofErr w:type="spellEnd"/>
      <w:r>
        <w:rPr>
          <w:rFonts w:ascii="Times New Roman" w:eastAsia="Times New Roman" w:hAnsi="Times New Roman" w:cs="Times New Roman"/>
          <w:sz w:val="24"/>
          <w:szCs w:val="24"/>
        </w:rPr>
        <w:t xml:space="preserve"> wskazanych w art. 148a § 1 i 3. Pierwszą z nich jest ustalenie, że dane dotyczące miejsca zamieszkania lub miejsca pracy, a także numeru telefonu, telefaksu lub adresu poczty elektronicznej pokrzywdzonego lub świadka są os</w:t>
      </w:r>
      <w:r>
        <w:rPr>
          <w:rFonts w:ascii="Times New Roman" w:eastAsia="Times New Roman" w:hAnsi="Times New Roman" w:cs="Times New Roman"/>
          <w:sz w:val="24"/>
          <w:szCs w:val="24"/>
        </w:rPr>
        <w:t>karżonemu znane. Intencja ustawodawcy jest w tym przypadku oczywista, ale należy pamiętać, że dane świadka są chronione nie tylko przed osobą oskarżonego, lecz także przed innymi podmiotami, które mogą mieć dostęp do akt sprawy. Drugą okolicznością pozwala</w:t>
      </w:r>
      <w:r>
        <w:rPr>
          <w:rFonts w:ascii="Times New Roman" w:eastAsia="Times New Roman" w:hAnsi="Times New Roman" w:cs="Times New Roman"/>
          <w:sz w:val="24"/>
          <w:szCs w:val="24"/>
        </w:rPr>
        <w:t>jącą na wskazane odstępstwo jest ustalenie, że dane dotyczące miejsca zamieszkania lub miejsca pracy pokrzywdzonego lub świadka są związane z miejscem prowadzenia działalności gospodarczej przez pokrzywdzonego lub świadka i dane te zostały przekazane do pu</w:t>
      </w:r>
      <w:r>
        <w:rPr>
          <w:rFonts w:ascii="Times New Roman" w:eastAsia="Times New Roman" w:hAnsi="Times New Roman" w:cs="Times New Roman"/>
          <w:sz w:val="24"/>
          <w:szCs w:val="24"/>
        </w:rPr>
        <w:t xml:space="preserve">blicznej wiadomości do właściwego rejestru lub ewidencji. Trzecia okoliczność ma </w:t>
      </w:r>
      <w:proofErr w:type="spellStart"/>
      <w:r>
        <w:rPr>
          <w:rFonts w:ascii="Times New Roman" w:eastAsia="Times New Roman" w:hAnsi="Times New Roman" w:cs="Times New Roman"/>
          <w:sz w:val="24"/>
          <w:szCs w:val="24"/>
        </w:rPr>
        <w:t>ocenny</w:t>
      </w:r>
      <w:proofErr w:type="spellEnd"/>
      <w:r>
        <w:rPr>
          <w:rFonts w:ascii="Times New Roman" w:eastAsia="Times New Roman" w:hAnsi="Times New Roman" w:cs="Times New Roman"/>
          <w:sz w:val="24"/>
          <w:szCs w:val="24"/>
        </w:rPr>
        <w:t xml:space="preserve"> charakter: odstępstwo od zasad ogólnych możliwe jest wówczas, gdy zachodzi oczywisty brak potrzeby ochrony danych dotyczących miejsca zamieszkania lub miejsca pracy (nu</w:t>
      </w:r>
      <w:r>
        <w:rPr>
          <w:rFonts w:ascii="Times New Roman" w:eastAsia="Times New Roman" w:hAnsi="Times New Roman" w:cs="Times New Roman"/>
          <w:sz w:val="24"/>
          <w:szCs w:val="24"/>
        </w:rPr>
        <w:t>meru telefonu, telefaksu lub adresu poczty elektronicznej) pokrzywdzonego lub świadka z uwagi na charakter sprawy. Wykład zwieńczyła część praktyczna, w której prelegenci omówili konstrukcję zarządzenia o ujawnieniu danych pokrzywdzonego i przedstawili jeg</w:t>
      </w:r>
      <w:r>
        <w:rPr>
          <w:rFonts w:ascii="Times New Roman" w:eastAsia="Times New Roman" w:hAnsi="Times New Roman" w:cs="Times New Roman"/>
          <w:sz w:val="24"/>
          <w:szCs w:val="24"/>
        </w:rPr>
        <w:t>o wzór. Po prelekcji odbyła się dyskusja.</w:t>
      </w:r>
    </w:p>
    <w:p w14:paraId="35894D08" w14:textId="77777777" w:rsidR="008C7016" w:rsidRDefault="008C7016">
      <w:pPr>
        <w:spacing w:line="360" w:lineRule="auto"/>
        <w:jc w:val="both"/>
        <w:rPr>
          <w:rFonts w:ascii="Times New Roman" w:eastAsia="Times New Roman" w:hAnsi="Times New Roman" w:cs="Times New Roman"/>
          <w:sz w:val="24"/>
          <w:szCs w:val="24"/>
        </w:rPr>
      </w:pPr>
    </w:p>
    <w:p w14:paraId="35894D09" w14:textId="77777777" w:rsidR="008C7016" w:rsidRDefault="008C7016">
      <w:pPr>
        <w:spacing w:line="360" w:lineRule="auto"/>
        <w:jc w:val="both"/>
        <w:rPr>
          <w:rFonts w:ascii="Times New Roman" w:eastAsia="Times New Roman" w:hAnsi="Times New Roman" w:cs="Times New Roman"/>
          <w:i/>
          <w:color w:val="FF0000"/>
          <w:sz w:val="24"/>
          <w:szCs w:val="24"/>
          <w:u w:val="single"/>
        </w:rPr>
      </w:pPr>
    </w:p>
    <w:p w14:paraId="35894D0A" w14:textId="77777777" w:rsidR="008C7016" w:rsidRDefault="00B868A6">
      <w:pPr>
        <w:numPr>
          <w:ilvl w:val="0"/>
          <w:numId w:val="9"/>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“Konstruowanie zarzutów”- Kinga Kaniewska, Piotr Trzebicki </w:t>
      </w:r>
    </w:p>
    <w:p w14:paraId="35894D0B" w14:textId="77777777" w:rsidR="008C7016" w:rsidRDefault="008C7016">
      <w:pPr>
        <w:spacing w:line="360" w:lineRule="auto"/>
        <w:jc w:val="both"/>
        <w:rPr>
          <w:rFonts w:ascii="Times New Roman" w:eastAsia="Times New Roman" w:hAnsi="Times New Roman" w:cs="Times New Roman"/>
          <w:sz w:val="24"/>
          <w:szCs w:val="24"/>
        </w:rPr>
      </w:pPr>
    </w:p>
    <w:p w14:paraId="35894D0C"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Tematem wykładu było omówienie schematu konstrukcji zarzutu przez rzecznika odpowiedzialności zawodowej ze szczególnym uwzględnieniem regulacji prawnyc</w:t>
      </w:r>
      <w:r>
        <w:rPr>
          <w:rFonts w:ascii="Times New Roman" w:eastAsia="Times New Roman" w:hAnsi="Times New Roman" w:cs="Times New Roman"/>
          <w:sz w:val="24"/>
          <w:szCs w:val="24"/>
        </w:rPr>
        <w:t xml:space="preserve">h, które statuuje ustawa z dnia 2 grudnia 2009 roku o izbach lekarskich. Prelegenci zaprezentowali sposób formułowania wniosku o ukaranie, wskazując jego niezbędne elementy. Wykład odbywał się w formie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co umożliwiło uczestnikom czynny udział w </w:t>
      </w:r>
      <w:r>
        <w:rPr>
          <w:rFonts w:ascii="Times New Roman" w:eastAsia="Times New Roman" w:hAnsi="Times New Roman" w:cs="Times New Roman"/>
          <w:sz w:val="24"/>
          <w:szCs w:val="24"/>
        </w:rPr>
        <w:t>dyskusji. Omówiono problematykę czynów ciągłych, których specyfika implikuje konieczność wskazania daty “zakończenia czynu”. Zwrócono uwagę na możliwość wydania postanowienia o zmianie lub uzupełnieniu zarzutów. Wśród najczęściej popełnianych błędów wymien</w:t>
      </w:r>
      <w:r>
        <w:rPr>
          <w:rFonts w:ascii="Times New Roman" w:eastAsia="Times New Roman" w:hAnsi="Times New Roman" w:cs="Times New Roman"/>
          <w:sz w:val="24"/>
          <w:szCs w:val="24"/>
        </w:rPr>
        <w:t xml:space="preserve">iono – niewłaściwe określanie daty czynu, brak podstawy prawnej przy każdym zarzucie (w przypadku, gdy  jest ich więcej niż jeden),  brak ciągłości w opisie zarzucanego czynu, zbytnie rozbijanie zarzutów. Kończąc swoje wystąpienie- Kinga Kaniewska i Piotr </w:t>
      </w:r>
      <w:r>
        <w:rPr>
          <w:rFonts w:ascii="Times New Roman" w:eastAsia="Times New Roman" w:hAnsi="Times New Roman" w:cs="Times New Roman"/>
          <w:sz w:val="24"/>
          <w:szCs w:val="24"/>
        </w:rPr>
        <w:t>Trzebicki pochylili się nad kwestią regulacji prawnych, które wprowadza Regulamin Wewnętrznego Urzędowania Rzeczników Odpowiedzialności Zawodowej. Po prelekcji odbyła się dyskusja.</w:t>
      </w:r>
    </w:p>
    <w:p w14:paraId="35894D0D" w14:textId="77777777" w:rsidR="008C7016" w:rsidRDefault="008C7016">
      <w:pPr>
        <w:spacing w:line="360" w:lineRule="auto"/>
        <w:jc w:val="both"/>
        <w:rPr>
          <w:rFonts w:ascii="Times New Roman" w:eastAsia="Times New Roman" w:hAnsi="Times New Roman" w:cs="Times New Roman"/>
          <w:sz w:val="24"/>
          <w:szCs w:val="24"/>
        </w:rPr>
      </w:pPr>
    </w:p>
    <w:p w14:paraId="35894D0E" w14:textId="77777777" w:rsidR="008C7016" w:rsidRDefault="00B868A6">
      <w:pPr>
        <w:numPr>
          <w:ilvl w:val="0"/>
          <w:numId w:val="10"/>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“Lekarze obcokrajowcy. Uznawanie kwalifikacji lekarzy spoza UE. Postępowan</w:t>
      </w:r>
      <w:r>
        <w:rPr>
          <w:rFonts w:ascii="Times New Roman" w:eastAsia="Times New Roman" w:hAnsi="Times New Roman" w:cs="Times New Roman"/>
          <w:b/>
          <w:sz w:val="24"/>
          <w:szCs w:val="24"/>
        </w:rPr>
        <w:t>ia przed rzecznikiem i sądem, gdy osoba przesłuchiwana posługuje się wyłącznie językiem obcym. Przewinienie popełnione przez lekarza pracującego pod nadzorem specjalisty.” - r.pr. Marek Szewczyński, dr n.pr. Paulina Tomaszewska</w:t>
      </w:r>
    </w:p>
    <w:p w14:paraId="35894D0F" w14:textId="77777777" w:rsidR="008C7016" w:rsidRDefault="008C7016">
      <w:pPr>
        <w:spacing w:line="360" w:lineRule="auto"/>
        <w:jc w:val="both"/>
        <w:rPr>
          <w:rFonts w:ascii="Times New Roman" w:eastAsia="Times New Roman" w:hAnsi="Times New Roman" w:cs="Times New Roman"/>
          <w:b/>
          <w:sz w:val="24"/>
          <w:szCs w:val="24"/>
        </w:rPr>
      </w:pPr>
    </w:p>
    <w:p w14:paraId="35894D10" w14:textId="77777777" w:rsidR="008C7016" w:rsidRDefault="00B868A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Dr n.pr. Paulina Tomaszewsk</w:t>
      </w:r>
      <w:r>
        <w:rPr>
          <w:rFonts w:ascii="Times New Roman" w:eastAsia="Times New Roman" w:hAnsi="Times New Roman" w:cs="Times New Roman"/>
          <w:sz w:val="24"/>
          <w:szCs w:val="24"/>
        </w:rPr>
        <w:t>a i r.pr. Marek Szewczyński przedstawili zagadnienie uznawania kwalifikacji lekarzy spoza Unii Europejskiej, szczegółowo omawiając kwestie prawne związane z wdrożeniem przepisów Dyrektywy 2005/36/WE o uznawaniu kwalifikacji zawodowych. W Polsce dyplom uzys</w:t>
      </w:r>
      <w:r>
        <w:rPr>
          <w:rFonts w:ascii="Times New Roman" w:eastAsia="Times New Roman" w:hAnsi="Times New Roman" w:cs="Times New Roman"/>
          <w:sz w:val="24"/>
          <w:szCs w:val="24"/>
        </w:rPr>
        <w:t>kany poza Unią Europejską może być uznany za równorzędny z polskim dyplomem w drodze nostryfikacji lub na zasadach określonych w umowach międzynarodowych. Ponadto należy pamiętać, że dyplom lekarza uzyskany poza Unią Europejską nie podlega automatycznemu u</w:t>
      </w:r>
      <w:r>
        <w:rPr>
          <w:rFonts w:ascii="Times New Roman" w:eastAsia="Times New Roman" w:hAnsi="Times New Roman" w:cs="Times New Roman"/>
          <w:sz w:val="24"/>
          <w:szCs w:val="24"/>
        </w:rPr>
        <w:t>znaniu we wszystkich państwach członkowskich Unii, nawet w sytuacji, gdy został już uznany w jednym z państw członkowskich. W dalszej części wystąpienia prelegenci przedstawili kwestie postępowania przed rzecznikiem i sądem, gdy osoba przesłuchiwana posług</w:t>
      </w:r>
      <w:r>
        <w:rPr>
          <w:rFonts w:ascii="Times New Roman" w:eastAsia="Times New Roman" w:hAnsi="Times New Roman" w:cs="Times New Roman"/>
          <w:sz w:val="24"/>
          <w:szCs w:val="24"/>
        </w:rPr>
        <w:t xml:space="preserve">uje się wyłącznie językiem </w:t>
      </w:r>
      <w:r>
        <w:rPr>
          <w:rFonts w:ascii="Times New Roman" w:eastAsia="Times New Roman" w:hAnsi="Times New Roman" w:cs="Times New Roman"/>
          <w:sz w:val="24"/>
          <w:szCs w:val="24"/>
        </w:rPr>
        <w:lastRenderedPageBreak/>
        <w:t>obcym, zaznaczając, że prawo do udziału tłumacza w postępowaniu stanowi jedną z przesłanek gwarantujących rzetelny proces karny. Po prelekcji odbyła się dyskusja.</w:t>
      </w:r>
    </w:p>
    <w:p w14:paraId="35894D11" w14:textId="77777777" w:rsidR="008C7016" w:rsidRDefault="008C7016">
      <w:pPr>
        <w:spacing w:line="360" w:lineRule="auto"/>
        <w:jc w:val="both"/>
        <w:rPr>
          <w:rFonts w:ascii="Times New Roman" w:eastAsia="Times New Roman" w:hAnsi="Times New Roman" w:cs="Times New Roman"/>
          <w:b/>
          <w:sz w:val="24"/>
          <w:szCs w:val="24"/>
        </w:rPr>
      </w:pPr>
    </w:p>
    <w:p w14:paraId="35894D12" w14:textId="77777777" w:rsidR="008C7016" w:rsidRDefault="00B868A6">
      <w:pPr>
        <w:numPr>
          <w:ilvl w:val="0"/>
          <w:numId w:val="5"/>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“Przebieg i wyniki postępowań kasacyjnych” - Naczelny Rzecznik Od</w:t>
      </w:r>
      <w:r>
        <w:rPr>
          <w:rFonts w:ascii="Times New Roman" w:eastAsia="Times New Roman" w:hAnsi="Times New Roman" w:cs="Times New Roman"/>
          <w:b/>
          <w:sz w:val="24"/>
          <w:szCs w:val="24"/>
        </w:rPr>
        <w:t>powiedzialności Zawodowej dr n.med. Zbigniew Kuzyszyn</w:t>
      </w:r>
    </w:p>
    <w:p w14:paraId="35894D13" w14:textId="77777777" w:rsidR="008C7016" w:rsidRDefault="008C7016">
      <w:pPr>
        <w:spacing w:line="360" w:lineRule="auto"/>
        <w:jc w:val="both"/>
        <w:rPr>
          <w:rFonts w:ascii="Times New Roman" w:eastAsia="Times New Roman" w:hAnsi="Times New Roman" w:cs="Times New Roman"/>
          <w:b/>
          <w:sz w:val="24"/>
          <w:szCs w:val="24"/>
        </w:rPr>
      </w:pPr>
    </w:p>
    <w:p w14:paraId="35894D14"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Naczelny Rzecznik Odpowiedzialności Zawodowej dr n.med. Zbigniew Kuzyszyn omówił przebieg i wyniki wybranych postępowań kasacyjnych. Ustalono, że najciekawsze uzasadnienia będą udostępniane OROZ.</w:t>
      </w:r>
    </w:p>
    <w:p w14:paraId="35894D15" w14:textId="77777777" w:rsidR="008C7016" w:rsidRDefault="008C7016">
      <w:pPr>
        <w:spacing w:line="360" w:lineRule="auto"/>
        <w:jc w:val="both"/>
        <w:rPr>
          <w:rFonts w:ascii="Times New Roman" w:eastAsia="Times New Roman" w:hAnsi="Times New Roman" w:cs="Times New Roman"/>
          <w:b/>
          <w:sz w:val="24"/>
          <w:szCs w:val="24"/>
        </w:rPr>
      </w:pPr>
    </w:p>
    <w:p w14:paraId="35894D16" w14:textId="77777777" w:rsidR="008C7016" w:rsidRDefault="00B868A6">
      <w:pPr>
        <w:numPr>
          <w:ilvl w:val="0"/>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w:t>
      </w:r>
      <w:r>
        <w:rPr>
          <w:rFonts w:ascii="Times New Roman" w:eastAsia="Times New Roman" w:hAnsi="Times New Roman" w:cs="Times New Roman"/>
          <w:b/>
          <w:sz w:val="24"/>
          <w:szCs w:val="24"/>
        </w:rPr>
        <w:t xml:space="preserve">liza informacji uzyskanych od OROZ w sprawozdaniach za 2022 r.” - Naczelny Rzecznik Odpowiedzialności Zawodowej dr n.med. Zbigniew Kuzyszyn </w:t>
      </w:r>
    </w:p>
    <w:p w14:paraId="35894D17" w14:textId="77777777" w:rsidR="008C7016" w:rsidRDefault="008C7016">
      <w:pPr>
        <w:spacing w:line="360" w:lineRule="auto"/>
        <w:jc w:val="both"/>
        <w:rPr>
          <w:rFonts w:ascii="Times New Roman" w:eastAsia="Times New Roman" w:hAnsi="Times New Roman" w:cs="Times New Roman"/>
          <w:b/>
          <w:sz w:val="24"/>
          <w:szCs w:val="24"/>
        </w:rPr>
      </w:pPr>
    </w:p>
    <w:p w14:paraId="35894D18" w14:textId="77777777" w:rsidR="008C7016" w:rsidRDefault="00B868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Kończąc Konferencję szkoleniową, dr n.med. Zbigniew Kuzyszyn dokonał analizy informacji uzyskanych od OROZ w spraw</w:t>
      </w:r>
      <w:r>
        <w:rPr>
          <w:rFonts w:ascii="Times New Roman" w:eastAsia="Times New Roman" w:hAnsi="Times New Roman" w:cs="Times New Roman"/>
          <w:sz w:val="24"/>
          <w:szCs w:val="24"/>
        </w:rPr>
        <w:t xml:space="preserve">ozdaniach za 2022 r. i szczegółowo omówił poszczególne wydarzenia. </w:t>
      </w:r>
    </w:p>
    <w:p w14:paraId="35894D1B" w14:textId="77777777" w:rsidR="008C7016" w:rsidRDefault="008C7016" w:rsidP="00B868A6">
      <w:pPr>
        <w:spacing w:line="360" w:lineRule="auto"/>
        <w:rPr>
          <w:rFonts w:ascii="Times New Roman" w:eastAsia="Times New Roman" w:hAnsi="Times New Roman" w:cs="Times New Roman"/>
          <w:sz w:val="24"/>
          <w:szCs w:val="24"/>
        </w:rPr>
      </w:pPr>
    </w:p>
    <w:p w14:paraId="35894D1C" w14:textId="77777777" w:rsidR="008C7016" w:rsidRDefault="008C7016">
      <w:pPr>
        <w:spacing w:line="360" w:lineRule="auto"/>
        <w:jc w:val="both"/>
        <w:rPr>
          <w:rFonts w:ascii="Times New Roman" w:eastAsia="Times New Roman" w:hAnsi="Times New Roman" w:cs="Times New Roman"/>
          <w:i/>
          <w:color w:val="FF0000"/>
          <w:sz w:val="28"/>
          <w:szCs w:val="28"/>
          <w:u w:val="single"/>
        </w:rPr>
      </w:pPr>
    </w:p>
    <w:p w14:paraId="35894D1D" w14:textId="77777777" w:rsidR="008C7016" w:rsidRDefault="00B868A6">
      <w:pPr>
        <w:spacing w:line="360" w:lineRule="auto"/>
        <w:jc w:val="center"/>
        <w:rPr>
          <w:rFonts w:ascii="Times New Roman" w:eastAsia="Times New Roman" w:hAnsi="Times New Roman" w:cs="Times New Roman"/>
          <w:i/>
          <w:color w:val="FF0000"/>
          <w:sz w:val="28"/>
          <w:szCs w:val="28"/>
          <w:u w:val="single"/>
        </w:rPr>
      </w:pPr>
      <w:r>
        <w:rPr>
          <w:rFonts w:ascii="Times New Roman" w:eastAsia="Times New Roman" w:hAnsi="Times New Roman" w:cs="Times New Roman"/>
          <w:i/>
          <w:color w:val="FF0000"/>
          <w:sz w:val="28"/>
          <w:szCs w:val="28"/>
          <w:u w:val="single"/>
        </w:rPr>
        <w:t>Podsumowanie i zakończenie Konferencji</w:t>
      </w:r>
    </w:p>
    <w:sectPr w:rsidR="008C701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4D26" w14:textId="77777777" w:rsidR="00000000" w:rsidRDefault="00B868A6">
      <w:pPr>
        <w:spacing w:line="240" w:lineRule="auto"/>
      </w:pPr>
      <w:r>
        <w:separator/>
      </w:r>
    </w:p>
  </w:endnote>
  <w:endnote w:type="continuationSeparator" w:id="0">
    <w:p w14:paraId="35894D28" w14:textId="77777777" w:rsidR="00000000" w:rsidRDefault="00B86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4D21" w14:textId="5BBF5CFD" w:rsidR="008C7016" w:rsidRDefault="00B868A6">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9654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4D22" w14:textId="77777777" w:rsidR="00000000" w:rsidRDefault="00B868A6">
      <w:pPr>
        <w:spacing w:line="240" w:lineRule="auto"/>
      </w:pPr>
      <w:r>
        <w:separator/>
      </w:r>
    </w:p>
  </w:footnote>
  <w:footnote w:type="continuationSeparator" w:id="0">
    <w:p w14:paraId="35894D24" w14:textId="77777777" w:rsidR="00000000" w:rsidRDefault="00B86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4D20" w14:textId="77777777" w:rsidR="008C7016" w:rsidRDefault="008C70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60E"/>
    <w:multiLevelType w:val="multilevel"/>
    <w:tmpl w:val="F794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A63E7"/>
    <w:multiLevelType w:val="multilevel"/>
    <w:tmpl w:val="C6C63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F5D4C"/>
    <w:multiLevelType w:val="multilevel"/>
    <w:tmpl w:val="D23A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212FA6"/>
    <w:multiLevelType w:val="multilevel"/>
    <w:tmpl w:val="4574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975D4"/>
    <w:multiLevelType w:val="multilevel"/>
    <w:tmpl w:val="52561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C670F"/>
    <w:multiLevelType w:val="multilevel"/>
    <w:tmpl w:val="0210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C35F1"/>
    <w:multiLevelType w:val="multilevel"/>
    <w:tmpl w:val="2B3C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36B0B"/>
    <w:multiLevelType w:val="multilevel"/>
    <w:tmpl w:val="AEAC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C11C67"/>
    <w:multiLevelType w:val="multilevel"/>
    <w:tmpl w:val="9C08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544A62"/>
    <w:multiLevelType w:val="multilevel"/>
    <w:tmpl w:val="8E32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A2450A"/>
    <w:multiLevelType w:val="multilevel"/>
    <w:tmpl w:val="95CC6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E979C3"/>
    <w:multiLevelType w:val="multilevel"/>
    <w:tmpl w:val="F9CCD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541212">
    <w:abstractNumId w:val="9"/>
  </w:num>
  <w:num w:numId="2" w16cid:durableId="427505793">
    <w:abstractNumId w:val="4"/>
  </w:num>
  <w:num w:numId="3" w16cid:durableId="1321739532">
    <w:abstractNumId w:val="6"/>
  </w:num>
  <w:num w:numId="4" w16cid:durableId="705448502">
    <w:abstractNumId w:val="10"/>
  </w:num>
  <w:num w:numId="5" w16cid:durableId="1672758618">
    <w:abstractNumId w:val="0"/>
  </w:num>
  <w:num w:numId="6" w16cid:durableId="228923131">
    <w:abstractNumId w:val="1"/>
  </w:num>
  <w:num w:numId="7" w16cid:durableId="339280696">
    <w:abstractNumId w:val="3"/>
  </w:num>
  <w:num w:numId="8" w16cid:durableId="1232692235">
    <w:abstractNumId w:val="8"/>
  </w:num>
  <w:num w:numId="9" w16cid:durableId="440342941">
    <w:abstractNumId w:val="11"/>
  </w:num>
  <w:num w:numId="10" w16cid:durableId="577134578">
    <w:abstractNumId w:val="2"/>
  </w:num>
  <w:num w:numId="11" w16cid:durableId="549192642">
    <w:abstractNumId w:val="7"/>
  </w:num>
  <w:num w:numId="12" w16cid:durableId="1214317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6"/>
    <w:rsid w:val="008C7016"/>
    <w:rsid w:val="00A36ED3"/>
    <w:rsid w:val="00B868A6"/>
    <w:rsid w:val="00B96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4CD8"/>
  <w15:docId w15:val="{4C1C7F82-1740-4273-A2FD-E6E7B16D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E83EAE"/>
    <w:rPr>
      <w:sz w:val="16"/>
      <w:szCs w:val="16"/>
    </w:rPr>
  </w:style>
  <w:style w:type="paragraph" w:styleId="Tekstkomentarza">
    <w:name w:val="annotation text"/>
    <w:basedOn w:val="Normalny"/>
    <w:link w:val="TekstkomentarzaZnak"/>
    <w:uiPriority w:val="99"/>
    <w:unhideWhenUsed/>
    <w:rsid w:val="00E83EAE"/>
    <w:pPr>
      <w:spacing w:line="240" w:lineRule="auto"/>
    </w:pPr>
    <w:rPr>
      <w:sz w:val="20"/>
      <w:szCs w:val="20"/>
    </w:rPr>
  </w:style>
  <w:style w:type="character" w:customStyle="1" w:styleId="TekstkomentarzaZnak">
    <w:name w:val="Tekst komentarza Znak"/>
    <w:basedOn w:val="Domylnaczcionkaakapitu"/>
    <w:link w:val="Tekstkomentarza"/>
    <w:uiPriority w:val="99"/>
    <w:rsid w:val="00E83EAE"/>
    <w:rPr>
      <w:sz w:val="20"/>
      <w:szCs w:val="20"/>
    </w:rPr>
  </w:style>
  <w:style w:type="paragraph" w:styleId="Tematkomentarza">
    <w:name w:val="annotation subject"/>
    <w:basedOn w:val="Tekstkomentarza"/>
    <w:next w:val="Tekstkomentarza"/>
    <w:link w:val="TematkomentarzaZnak"/>
    <w:uiPriority w:val="99"/>
    <w:semiHidden/>
    <w:unhideWhenUsed/>
    <w:rsid w:val="00E83EAE"/>
    <w:rPr>
      <w:b/>
      <w:bCs/>
    </w:rPr>
  </w:style>
  <w:style w:type="character" w:customStyle="1" w:styleId="TematkomentarzaZnak">
    <w:name w:val="Temat komentarza Znak"/>
    <w:basedOn w:val="TekstkomentarzaZnak"/>
    <w:link w:val="Tematkomentarza"/>
    <w:uiPriority w:val="99"/>
    <w:semiHidden/>
    <w:rsid w:val="00E83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f0RfnMlSU+tV1v0fYF/k3SeUg==">CgMxLjA4AHIhMVJqaVRxN0NWV0otTXE4dzFQTFl5OXVSQm5ycEh3aGlf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2097</Words>
  <Characters>12583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ewa.nowosielska</dc:creator>
  <cp:lastModifiedBy>Ewa Nowosielska</cp:lastModifiedBy>
  <cp:revision>2</cp:revision>
  <dcterms:created xsi:type="dcterms:W3CDTF">2023-05-31T12:01:00Z</dcterms:created>
  <dcterms:modified xsi:type="dcterms:W3CDTF">2023-06-02T06:34:00Z</dcterms:modified>
</cp:coreProperties>
</file>